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2761"/>
          <w:sz w:val="34"/>
          <w:szCs w:val="34"/>
        </w:rPr>
        <w:t xml:space="preserve">VIVA DEFENSE — Q&amp;A PREPARATION</w:t>
      </w:r>
    </w:p>
    <w:p>
      <w:pPr>
        <w:spacing w:after="240"/>
        <w:jc w:val="center"/>
      </w:pPr>
      <w:r>
        <w:rPr>
          <w:rFonts w:ascii="Calibri" w:cs="Calibri" w:eastAsia="Calibri" w:hAnsi="Calibri"/>
          <w:i/>
          <w:iCs/>
          <w:color w:val="5A6478"/>
          <w:sz w:val="22"/>
          <w:szCs w:val="22"/>
        </w:rPr>
        <w:t xml:space="preserve">Bisimbeko Remmy | J24MD19/007 | Thursday 23 July 2026, 8:30 a.m.</w:t>
      </w:r>
    </w:p>
    <w:p>
      <w:pPr>
        <w:pStyle w:val="Heading1"/>
        <w:spacing w:after="140" w:before="300"/>
      </w:pPr>
      <w:r>
        <w:rPr>
          <w:rFonts w:ascii="Calibri" w:cs="Calibri" w:eastAsia="Calibri" w:hAnsi="Calibri"/>
          <w:b/>
          <w:bCs/>
          <w:color w:val="1E2761"/>
          <w:sz w:val="30"/>
          <w:szCs w:val="30"/>
        </w:rPr>
        <w:t xml:space="preserve">A. METHODOLOGY QUESTIONS</w:t>
      </w:r>
    </w:p>
    <w:p>
      <w:pPr>
        <w:spacing w:after="80" w:before="220"/>
      </w:pPr>
      <w:r>
        <w:rPr>
          <w:rFonts w:ascii="Calibri" w:cs="Calibri" w:eastAsia="Calibri" w:hAnsi="Calibri"/>
          <w:b/>
          <w:bCs/>
          <w:color w:val="E40000"/>
          <w:sz w:val="24"/>
          <w:szCs w:val="24"/>
        </w:rPr>
        <w:t xml:space="preserve">Q: Why did you choose Spearman correlation instead of Pearson?</w:t>
      </w:r>
    </w:p>
    <w:p>
      <w:pPr>
        <w:spacing w:after="140" w:line="300"/>
        <w:jc w:val="both"/>
      </w:pPr>
      <w:r>
        <w:rPr>
          <w:rFonts w:ascii="Calibri" w:cs="Calibri" w:eastAsia="Calibri" w:hAnsi="Calibri"/>
          <w:sz w:val="23"/>
          <w:szCs w:val="23"/>
        </w:rPr>
        <w:t xml:space="preserve">A: Pearson assumes both variables are normally distributed and linearly related. My behavioural metrics — call minutes, purchase counts, revenue — are heavily right-skewed, and the target variable (value segment) is ordinal, not continuous. Spearman is rank-based, so it makes no distributional assumption and correctly handles the ordinal target. Field (2018) recommends exactly this for non-normal behavioural data.</w:t>
      </w:r>
    </w:p>
    <w:p>
      <w:pPr>
        <w:spacing w:after="80" w:before="220"/>
      </w:pPr>
      <w:r>
        <w:rPr>
          <w:rFonts w:ascii="Calibri" w:cs="Calibri" w:eastAsia="Calibri" w:hAnsi="Calibri"/>
          <w:b/>
          <w:bCs/>
          <w:color w:val="E40000"/>
          <w:sz w:val="24"/>
          <w:szCs w:val="24"/>
        </w:rPr>
        <w:t xml:space="preserve">Q: Why these four models specifically? Why not deep learning / neural networks?</w:t>
      </w:r>
    </w:p>
    <w:p>
      <w:pPr>
        <w:spacing w:after="140" w:line="300"/>
        <w:jc w:val="both"/>
      </w:pPr>
      <w:r>
        <w:rPr>
          <w:rFonts w:ascii="Calibri" w:cs="Calibri" w:eastAsia="Calibri" w:hAnsi="Calibri"/>
          <w:sz w:val="23"/>
          <w:szCs w:val="23"/>
        </w:rPr>
        <w:t xml:space="preserve">A: Three reasons. First, the four models form a principled complexity ladder: Logistic Regression as a linear baseline, Decision Tree as a single non-linear learner, then bagging (Random Forest) and boosting (XGBoost) as ensembles — this lets me attribute performance gains to specific modelling choices. Second, the literature I reviewed consistently shows gradient boosting as state-of-the-art for tabular telecom data — deep learning wins on images and text, not tabular features (Chang et al., 2024). Third, interpretability: Airtel needs to justify recommendations commercially; tree ensembles give feature importances, a neural network does not — and my Objective 1 explicitly requires identifying which attributes matter.</w:t>
      </w:r>
    </w:p>
    <w:p>
      <w:pPr>
        <w:spacing w:after="80" w:before="220"/>
      </w:pPr>
      <w:r>
        <w:rPr>
          <w:rFonts w:ascii="Calibri" w:cs="Calibri" w:eastAsia="Calibri" w:hAnsi="Calibri"/>
          <w:b/>
          <w:bCs/>
          <w:color w:val="E40000"/>
          <w:sz w:val="24"/>
          <w:szCs w:val="24"/>
        </w:rPr>
        <w:t xml:space="preserve">Q: Justify your SMOTE approach. Why cap it?</w:t>
      </w:r>
    </w:p>
    <w:p>
      <w:pPr>
        <w:spacing w:after="140" w:line="300"/>
        <w:jc w:val="both"/>
      </w:pPr>
      <w:r>
        <w:rPr>
          <w:rFonts w:ascii="Calibri" w:cs="Calibri" w:eastAsia="Calibri" w:hAnsi="Calibri"/>
          <w:sz w:val="23"/>
          <w:szCs w:val="23"/>
        </w:rPr>
        <w:t xml:space="preserve">A: Uncapped SMOTE would balance every class to the majority — 776,970 Silver — inflating my dataset from 1.46M to nearly 7M rows, mostly synthetic. That risks the model learning synthetic artefacts rather than real behaviour, and made training computationally impractical. I capped synthetic generation at 50,000 samples per minority class — enough to give minority classes meaningful gradient signal, while keeping the dataset 97% real records. The Diamond class (n=34) shows the residual limitation, which I acknowledge openly.</w:t>
      </w:r>
    </w:p>
    <w:p>
      <w:pPr>
        <w:spacing w:after="80" w:before="220"/>
      </w:pPr>
      <w:r>
        <w:rPr>
          <w:rFonts w:ascii="Calibri" w:cs="Calibri" w:eastAsia="Calibri" w:hAnsi="Calibri"/>
          <w:b/>
          <w:bCs/>
          <w:color w:val="E40000"/>
          <w:sz w:val="24"/>
          <w:szCs w:val="24"/>
        </w:rPr>
        <w:t xml:space="preserve">Q: Why a 70/30 split rather than k-fold cross-validation?</w:t>
      </w:r>
    </w:p>
    <w:p>
      <w:pPr>
        <w:spacing w:after="140" w:line="300"/>
        <w:jc w:val="both"/>
      </w:pPr>
      <w:r>
        <w:rPr>
          <w:rFonts w:ascii="Calibri" w:cs="Calibri" w:eastAsia="Calibri" w:hAnsi="Calibri"/>
          <w:sz w:val="23"/>
          <w:szCs w:val="23"/>
        </w:rPr>
        <w:t xml:space="preserve">A: With 1.46 million records, a single 70/30 split yields a test set of 446,599 records — large enough that the evaluation variance is tiny, which is the problem k-fold exists to solve on small datasets. K-fold on this volume would multiply training cost roughly five-fold for negligible statistical benefit. I also stratified the split to preserve class proportions.</w:t>
      </w:r>
    </w:p>
    <w:p>
      <w:pPr>
        <w:spacing w:after="80" w:before="220"/>
      </w:pPr>
      <w:r>
        <w:rPr>
          <w:rFonts w:ascii="Calibri" w:cs="Calibri" w:eastAsia="Calibri" w:hAnsi="Calibri"/>
          <w:b/>
          <w:bCs/>
          <w:color w:val="E40000"/>
          <w:sz w:val="24"/>
          <w:szCs w:val="24"/>
        </w:rPr>
        <w:t xml:space="preserve">Q: Why cluster-based sampling instead of random sampling?</w:t>
      </w:r>
    </w:p>
    <w:p>
      <w:pPr>
        <w:spacing w:after="140" w:line="300"/>
        <w:jc w:val="both"/>
      </w:pPr>
      <w:r>
        <w:rPr>
          <w:rFonts w:ascii="Calibri" w:cs="Calibri" w:eastAsia="Calibri" w:hAnsi="Calibri"/>
          <w:sz w:val="23"/>
          <w:szCs w:val="23"/>
        </w:rPr>
        <w:t xml:space="preserve">A: My features include 30-day and 90-day rolling windows — PURCHASES_LAST_30D, BUNDLE_SPEND_30D, ARPU_TREND. Random sampling of transactions would fragment each subscriber's history and make those features incomputable. Cluster sampling by MSISDN prefix keeps every selected subscriber's complete 90-day history intact. The trade-off is geographic concentration, which I state as a limitation.</w:t>
      </w:r>
    </w:p>
    <w:p>
      <w:pPr>
        <w:spacing w:after="80" w:before="220"/>
      </w:pPr>
      <w:r>
        <w:rPr>
          <w:rFonts w:ascii="Calibri" w:cs="Calibri" w:eastAsia="Calibri" w:hAnsi="Calibri"/>
          <w:b/>
          <w:bCs/>
          <w:color w:val="E40000"/>
          <w:sz w:val="24"/>
          <w:szCs w:val="24"/>
        </w:rPr>
        <w:t xml:space="preserve">Q: How did you handle missing data, and why median imputation?</w:t>
      </w:r>
    </w:p>
    <w:p>
      <w:pPr>
        <w:spacing w:after="140" w:line="300"/>
        <w:jc w:val="both"/>
      </w:pPr>
      <w:r>
        <w:rPr>
          <w:rFonts w:ascii="Calibri" w:cs="Calibri" w:eastAsia="Calibri" w:hAnsi="Calibri"/>
          <w:sz w:val="23"/>
          <w:szCs w:val="23"/>
        </w:rPr>
        <w:t xml:space="preserve">A: Missingness was concentrated in TENURE_DAYS and REC_30_DAYS (~24,500 records, under 2%). Median imputation is robust to the heavy right-skew of telecom variables — mean imputation would be dragged upward by outliers like the max revenue of 280M UGX. For the 12,230 records with a null target segment, I dropped them entirely: you cannot impute a class label without introducing bias.</w:t>
      </w:r>
    </w:p>
    <w:p>
      <w:pPr>
        <w:spacing w:after="80" w:before="220"/>
      </w:pPr>
      <w:r>
        <w:rPr>
          <w:rFonts w:ascii="Calibri" w:cs="Calibri" w:eastAsia="Calibri" w:hAnsi="Calibri"/>
          <w:b/>
          <w:bCs/>
          <w:color w:val="E40000"/>
          <w:sz w:val="24"/>
          <w:szCs w:val="24"/>
        </w:rPr>
        <w:t xml:space="preserve">Q: How do you know your model isn't overfitting?</w:t>
      </w:r>
    </w:p>
    <w:p>
      <w:pPr>
        <w:spacing w:after="140" w:line="300"/>
        <w:jc w:val="both"/>
      </w:pPr>
      <w:r>
        <w:rPr>
          <w:rFonts w:ascii="Calibri" w:cs="Calibri" w:eastAsia="Calibri" w:hAnsi="Calibri"/>
          <w:sz w:val="23"/>
          <w:szCs w:val="23"/>
        </w:rPr>
        <w:t xml:space="preserve">A: Three safeguards. All reported metrics come from the untouched 30% hold-out set, never from training data. The gap between Random Forest and XGBoost is small (0.009 F1), suggesting we are near the ceiling of the current feature set rather than memorising noise. And the per-class pattern is behaviourally sensible — majority classes score higher — rather than the erratic pattern overfitting produces.</w:t>
      </w:r>
    </w:p>
    <w:p>
      <w:pPr>
        <w:pStyle w:val="Heading1"/>
        <w:spacing w:after="140" w:before="300"/>
      </w:pPr>
      <w:r>
        <w:rPr>
          <w:rFonts w:ascii="Calibri" w:cs="Calibri" w:eastAsia="Calibri" w:hAnsi="Calibri"/>
          <w:b/>
          <w:bCs/>
          <w:color w:val="1E2761"/>
          <w:sz w:val="30"/>
          <w:szCs w:val="30"/>
        </w:rPr>
        <w:t xml:space="preserve">B. RESULTS QUESTIONS</w:t>
      </w:r>
    </w:p>
    <w:p>
      <w:pPr>
        <w:spacing w:after="80" w:before="220"/>
      </w:pPr>
      <w:r>
        <w:rPr>
          <w:rFonts w:ascii="Calibri" w:cs="Calibri" w:eastAsia="Calibri" w:hAnsi="Calibri"/>
          <w:b/>
          <w:bCs/>
          <w:color w:val="E40000"/>
          <w:sz w:val="24"/>
          <w:szCs w:val="24"/>
        </w:rPr>
        <w:t xml:space="preserve">Q: Your F1 of 0.661 is below the 0.82 benchmark you cite. Isn't that a weak result?</w:t>
      </w:r>
    </w:p>
    <w:p>
      <w:pPr>
        <w:spacing w:after="140" w:line="300"/>
        <w:jc w:val="both"/>
      </w:pPr>
      <w:r>
        <w:rPr>
          <w:rFonts w:ascii="Calibri" w:cs="Calibri" w:eastAsia="Calibri" w:hAnsi="Calibri"/>
          <w:sz w:val="23"/>
          <w:szCs w:val="23"/>
        </w:rPr>
        <w:t xml:space="preserve">A: The 0.82 benchmark comes from binary classification — churn versus no-churn, two classes. Mine is an 8-class task with extreme imbalance: 34 Diamond subscribers against 776,970 Silver. The honest baseline for 8 classes is 12.5% random accuracy; my model achieves 68% — a 5.4-fold improvement. Multi-class telecom studies like Singh et al. (2025) report comparable F1 ranges. Comparing my 8-class F1 against a binary benchmark would be comparing different tasks.</w:t>
      </w:r>
    </w:p>
    <w:p>
      <w:pPr>
        <w:spacing w:after="80" w:before="220"/>
      </w:pPr>
      <w:r>
        <w:rPr>
          <w:rFonts w:ascii="Calibri" w:cs="Calibri" w:eastAsia="Calibri" w:hAnsi="Calibri"/>
          <w:b/>
          <w:bCs/>
          <w:color w:val="E40000"/>
          <w:sz w:val="24"/>
          <w:szCs w:val="24"/>
        </w:rPr>
        <w:t xml:space="preserve">Q: All your correlations are below 0.10 — Cohen calls those negligible. Doesn't that undermine H1?</w:t>
      </w:r>
    </w:p>
    <w:p>
      <w:pPr>
        <w:spacing w:after="140" w:line="300"/>
        <w:jc w:val="both"/>
      </w:pPr>
      <w:r>
        <w:rPr>
          <w:rFonts w:ascii="Calibri" w:cs="Calibri" w:eastAsia="Calibri" w:hAnsi="Calibri"/>
          <w:sz w:val="23"/>
          <w:szCs w:val="23"/>
        </w:rPr>
        <w:t xml:space="preserve">A: This is exactly why I applied Cohen's classification openly rather than hiding behind p-values. At N=1.46M, significance is nearly automatic, so the analytical value lies in the ranking of effect sizes, which is stable and behaviourally interpretable — smartphone ownership, recent spend, and activity days consistently lead across all three tests. Small individual effects also combine: the multivariate model reaches 68% accuracy precisely because 35 weak signals aggregate into strong discrimination. That is the entire premise of machine learning over univariate statistics.</w:t>
      </w:r>
    </w:p>
    <w:p>
      <w:pPr>
        <w:spacing w:after="80" w:before="220"/>
      </w:pPr>
      <w:r>
        <w:rPr>
          <w:rFonts w:ascii="Calibri" w:cs="Calibri" w:eastAsia="Calibri" w:hAnsi="Calibri"/>
          <w:b/>
          <w:bCs/>
          <w:color w:val="E40000"/>
          <w:sz w:val="24"/>
          <w:szCs w:val="24"/>
        </w:rPr>
        <w:t xml:space="preserve">Q: Why does TOTAL_REVENUE dominate feature importance? Isn't that circular, since segments are revenue-defined?</w:t>
      </w:r>
    </w:p>
    <w:p>
      <w:pPr>
        <w:spacing w:after="140" w:line="300"/>
        <w:jc w:val="both"/>
      </w:pPr>
      <w:r>
        <w:rPr>
          <w:rFonts w:ascii="Calibri" w:cs="Calibri" w:eastAsia="Calibri" w:hAnsi="Calibri"/>
          <w:sz w:val="23"/>
          <w:szCs w:val="23"/>
        </w:rPr>
        <w:t xml:space="preserve">A: Partially, yes — and I say so in the thesis. Airtel's segments are partly revenue-based, so TOTAL_REVENUE at 18% is expected and I treat it as a sanity check that the model learned the segmentation logic. The genuine findings are the features NOT used to define segments: SPEND_PER_MINUTE at 6.6%, VOICE_INTENSITY at 5.9%, device type, and channel. Those are the behavioural signals ARPU banding cannot see, and they are what my recommendations are built on.</w:t>
      </w:r>
    </w:p>
    <w:p>
      <w:pPr>
        <w:spacing w:after="80" w:before="220"/>
      </w:pPr>
      <w:r>
        <w:rPr>
          <w:rFonts w:ascii="Calibri" w:cs="Calibri" w:eastAsia="Calibri" w:hAnsi="Calibri"/>
          <w:b/>
          <w:bCs/>
          <w:color w:val="E40000"/>
          <w:sz w:val="24"/>
          <w:szCs w:val="24"/>
        </w:rPr>
        <w:t xml:space="preserve">Q: UPGRADE_RATE was non-significant in Spearman but significant in ANOVA. Explain that.</w:t>
      </w:r>
    </w:p>
    <w:p>
      <w:pPr>
        <w:spacing w:after="140" w:line="300"/>
        <w:jc w:val="both"/>
      </w:pPr>
      <w:r>
        <w:rPr>
          <w:rFonts w:ascii="Calibri" w:cs="Calibri" w:eastAsia="Calibri" w:hAnsi="Calibri"/>
          <w:sz w:val="23"/>
          <w:szCs w:val="23"/>
        </w:rPr>
        <w:t xml:space="preserve">A: Spearman tests for a monotonic relationship — does upgrading increase steadily across segments? It does not (r=0.0004). ANOVA tests whether group means differ at all — and they do (F=8,586), just not in a monotonic pattern. Together they tell us upgrading behaviour differs across segments in a non-linear way: both low and high segments upgrade at similar rates. Practically: upgrade frequency alone cannot rank a customer's segment.</w:t>
      </w:r>
    </w:p>
    <w:p>
      <w:pPr>
        <w:spacing w:after="80" w:before="220"/>
      </w:pPr>
      <w:r>
        <w:rPr>
          <w:rFonts w:ascii="Calibri" w:cs="Calibri" w:eastAsia="Calibri" w:hAnsi="Calibri"/>
          <w:b/>
          <w:bCs/>
          <w:color w:val="E40000"/>
          <w:sz w:val="24"/>
          <w:szCs w:val="24"/>
        </w:rPr>
        <w:t xml:space="preserve">Q: Your Diamond class has 34 subscribers. Can you really claim to classify it?</w:t>
      </w:r>
    </w:p>
    <w:p>
      <w:pPr>
        <w:spacing w:after="140" w:line="300"/>
        <w:jc w:val="both"/>
      </w:pPr>
      <w:r>
        <w:rPr>
          <w:rFonts w:ascii="Calibri" w:cs="Calibri" w:eastAsia="Calibri" w:hAnsi="Calibri"/>
          <w:sz w:val="23"/>
          <w:szCs w:val="23"/>
        </w:rPr>
        <w:t xml:space="preserve">A: Honestly — barely, and I acknowledge it. Precision for Diamond is 1.00 but recall is 0.39: when the model predicts Diamond it is right, but it misses most true Diamonds. With 34 real instances even capped SMOTE cannot create genuine diversity. Operationally this matters little — 34 subscribers out of 1.46M would be handled by a key-account team, not an algorithm. Future work should use cost-sensitive learning for the extreme minorities.</w:t>
      </w:r>
    </w:p>
    <w:p>
      <w:pPr>
        <w:spacing w:after="80" w:before="220"/>
      </w:pPr>
      <w:r>
        <w:rPr>
          <w:rFonts w:ascii="Calibri" w:cs="Calibri" w:eastAsia="Calibri" w:hAnsi="Calibri"/>
          <w:b/>
          <w:bCs/>
          <w:color w:val="E40000"/>
          <w:sz w:val="24"/>
          <w:szCs w:val="24"/>
        </w:rPr>
        <w:t xml:space="preserve">Q: How did you validate the projected business impact figures — 12–15% conversion, +9% ARPU?</w:t>
      </w:r>
    </w:p>
    <w:p>
      <w:pPr>
        <w:spacing w:after="140" w:line="300"/>
        <w:jc w:val="both"/>
      </w:pPr>
      <w:r>
        <w:rPr>
          <w:rFonts w:ascii="Calibri" w:cs="Calibri" w:eastAsia="Calibri" w:hAnsi="Calibri"/>
          <w:sz w:val="23"/>
          <w:szCs w:val="23"/>
        </w:rPr>
        <w:t xml:space="preserve">A: They are projections, not measurements, and the thesis labels them as such. The logic: model precision of 0.67 means two of every three recommendations are segment-appropriate, versus the current sub-3% conversion under generic campaigns; the uplift range is then benchmarked against McKinsey's documented telecom personalisation deployments. Because these are projections, H3 is only 'preliminarily supported', and my third recommendation is precisely the randomised A/B test needed to confirm them empirically.</w:t>
      </w:r>
    </w:p>
    <w:p>
      <w:pPr>
        <w:pStyle w:val="Heading1"/>
        <w:spacing w:after="140" w:before="300"/>
      </w:pPr>
      <w:r>
        <w:rPr>
          <w:rFonts w:ascii="Calibri" w:cs="Calibri" w:eastAsia="Calibri" w:hAnsi="Calibri"/>
          <w:b/>
          <w:bCs/>
          <w:color w:val="1E2761"/>
          <w:sz w:val="30"/>
          <w:szCs w:val="30"/>
        </w:rPr>
        <w:t xml:space="preserve">C. DATA QUESTIONS</w:t>
      </w:r>
    </w:p>
    <w:p>
      <w:pPr>
        <w:spacing w:after="80" w:before="220"/>
      </w:pPr>
      <w:r>
        <w:rPr>
          <w:rFonts w:ascii="Calibri" w:cs="Calibri" w:eastAsia="Calibri" w:hAnsi="Calibri"/>
          <w:b/>
          <w:bCs/>
          <w:color w:val="E40000"/>
          <w:sz w:val="24"/>
          <w:szCs w:val="24"/>
        </w:rPr>
        <w:t xml:space="preserve">Q: How did you obtain this data, and was it ethical?</w:t>
      </w:r>
    </w:p>
    <w:p>
      <w:pPr>
        <w:spacing w:after="140" w:line="300"/>
        <w:jc w:val="both"/>
      </w:pPr>
      <w:r>
        <w:rPr>
          <w:rFonts w:ascii="Calibri" w:cs="Calibri" w:eastAsia="Calibri" w:hAnsi="Calibri"/>
          <w:sz w:val="23"/>
          <w:szCs w:val="23"/>
        </w:rPr>
        <w:t xml:space="preserve">A: I extracted it myself under authorised internal access as an Airtel Uganda employee, governed by a formal Data Use Agreement — Appendix A. All personally identifiable information was anonymised before analysis, in compliance with Uganda's Data Protection and Privacy Act 2019. Ethics approval and the student–advisor agreement are in Appendix D. Sample screenshots of anonymised data are in Appendix H.</w:t>
      </w:r>
    </w:p>
    <w:p>
      <w:pPr>
        <w:spacing w:after="80" w:before="220"/>
      </w:pPr>
      <w:r>
        <w:rPr>
          <w:rFonts w:ascii="Calibri" w:cs="Calibri" w:eastAsia="Calibri" w:hAnsi="Calibri"/>
          <w:b/>
          <w:bCs/>
          <w:color w:val="E40000"/>
          <w:sz w:val="24"/>
          <w:szCs w:val="24"/>
        </w:rPr>
        <w:t xml:space="preserve">Q: Why only Kampala and Central regions?</w:t>
      </w:r>
    </w:p>
    <w:p>
      <w:pPr>
        <w:spacing w:after="140" w:line="300"/>
        <w:jc w:val="both"/>
      </w:pPr>
      <w:r>
        <w:rPr>
          <w:rFonts w:ascii="Calibri" w:cs="Calibri" w:eastAsia="Calibri" w:hAnsi="Calibri"/>
          <w:sz w:val="23"/>
          <w:szCs w:val="23"/>
        </w:rPr>
        <w:t xml:space="preserve">A: A deliberate scope decision with three justifications: these regions hold Airtel's densest commercial activity, giving the richest behavioural signals; the extraction had to be computationally bounded — the raw tables exceed 85 million rows; and the cluster sampling design required complete histories, which favoured concentrated network clusters. The cost is that rural behaviour is unrepresented — stated as a limitation, and extending nationally is a named future research direction.</w:t>
      </w:r>
    </w:p>
    <w:p>
      <w:pPr>
        <w:spacing w:after="80" w:before="220"/>
      </w:pPr>
      <w:r>
        <w:rPr>
          <w:rFonts w:ascii="Calibri" w:cs="Calibri" w:eastAsia="Calibri" w:hAnsi="Calibri"/>
          <w:b/>
          <w:bCs/>
          <w:color w:val="E40000"/>
          <w:sz w:val="24"/>
          <w:szCs w:val="24"/>
        </w:rPr>
        <w:t xml:space="preserve">Q: Only 267 of 738 bundle IDs matched your purchase records. Why?</w:t>
      </w:r>
    </w:p>
    <w:p>
      <w:pPr>
        <w:spacing w:after="140" w:line="300"/>
        <w:jc w:val="both"/>
      </w:pPr>
      <w:r>
        <w:rPr>
          <w:rFonts w:ascii="Calibri" w:cs="Calibri" w:eastAsia="Calibri" w:hAnsi="Calibri"/>
          <w:sz w:val="23"/>
          <w:szCs w:val="23"/>
        </w:rPr>
        <w:t xml:space="preserve">A: The product catalogue I extracted is a current snapshot, but the 90-day purchase window includes bundles that were retired or were short-lived promotions — their IDs no longer appear in the current catalogue. The fix, which I specify in future work, is joining against a historical catalogue covering the full observation window. Importantly, the unmatched transactions were excluded rather than mislabelled, so this reduces coverage but not correctness.</w:t>
      </w:r>
    </w:p>
    <w:p>
      <w:pPr>
        <w:spacing w:after="80" w:before="220"/>
      </w:pPr>
      <w:r>
        <w:rPr>
          <w:rFonts w:ascii="Calibri" w:cs="Calibri" w:eastAsia="Calibri" w:hAnsi="Calibri"/>
          <w:b/>
          <w:bCs/>
          <w:color w:val="E40000"/>
          <w:sz w:val="24"/>
          <w:szCs w:val="24"/>
        </w:rPr>
        <w:t xml:space="preserve">Q: Is 90 days enough to capture behaviour? What about seasonality?</w:t>
      </w:r>
    </w:p>
    <w:p>
      <w:pPr>
        <w:spacing w:after="140" w:line="300"/>
        <w:jc w:val="both"/>
      </w:pPr>
      <w:r>
        <w:rPr>
          <w:rFonts w:ascii="Calibri" w:cs="Calibri" w:eastAsia="Calibri" w:hAnsi="Calibri"/>
          <w:sz w:val="23"/>
          <w:szCs w:val="23"/>
        </w:rPr>
        <w:t xml:space="preserve">A: Ninety days captures the weekly and monthly cycles that dominate prepaid purchasing — my hourly purchase distribution shows those patterns clearly. What it cannot capture is annual seasonality — festive December spikes, school-term effects. Quarterly retraining, which is Recommendation 3, is the operational answer: the model refreshes as seasonal patterns shift.</w:t>
      </w:r>
    </w:p>
    <w:p>
      <w:pPr>
        <w:pStyle w:val="Heading1"/>
        <w:spacing w:after="140" w:before="300"/>
      </w:pPr>
      <w:r>
        <w:rPr>
          <w:rFonts w:ascii="Calibri" w:cs="Calibri" w:eastAsia="Calibri" w:hAnsi="Calibri"/>
          <w:b/>
          <w:bCs/>
          <w:color w:val="1E2761"/>
          <w:sz w:val="30"/>
          <w:szCs w:val="30"/>
        </w:rPr>
        <w:t xml:space="preserve">D. STRATEGIC / BIG-PICTURE QUESTIONS</w:t>
      </w:r>
    </w:p>
    <w:p>
      <w:pPr>
        <w:spacing w:after="80" w:before="220"/>
      </w:pPr>
      <w:r>
        <w:rPr>
          <w:rFonts w:ascii="Calibri" w:cs="Calibri" w:eastAsia="Calibri" w:hAnsi="Calibri"/>
          <w:b/>
          <w:bCs/>
          <w:color w:val="E40000"/>
          <w:sz w:val="24"/>
          <w:szCs w:val="24"/>
        </w:rPr>
        <w:t xml:space="preserve">Q: What is your single most important finding?</w:t>
      </w:r>
    </w:p>
    <w:p>
      <w:pPr>
        <w:spacing w:after="140" w:line="300"/>
        <w:jc w:val="both"/>
      </w:pPr>
      <w:r>
        <w:rPr>
          <w:rFonts w:ascii="Calibri" w:cs="Calibri" w:eastAsia="Calibri" w:hAnsi="Calibri"/>
          <w:sz w:val="23"/>
          <w:szCs w:val="23"/>
        </w:rPr>
        <w:t xml:space="preserve">A: That spending efficiency beats spending volume. SPEND_PER_MINUTE — revenue divided by minutes used — is the second most predictive feature, ahead of raw call counts and mobile money activity. It means two customers with identical ARPU can need completely different bundles, which is precisely what ARPU banding cannot detect. That single engineered feature justifies the shift from ARPU bands to behavioural recommendation.</w:t>
      </w:r>
    </w:p>
    <w:p>
      <w:pPr>
        <w:spacing w:after="80" w:before="220"/>
      </w:pPr>
      <w:r>
        <w:rPr>
          <w:rFonts w:ascii="Calibri" w:cs="Calibri" w:eastAsia="Calibri" w:hAnsi="Calibri"/>
          <w:b/>
          <w:bCs/>
          <w:color w:val="E40000"/>
          <w:sz w:val="24"/>
          <w:szCs w:val="24"/>
        </w:rPr>
        <w:t xml:space="preserve">Q: If Airtel gave you the green light on Monday, what would you deploy first?</w:t>
      </w:r>
    </w:p>
    <w:p>
      <w:pPr>
        <w:spacing w:after="140" w:line="300"/>
        <w:jc w:val="both"/>
      </w:pPr>
      <w:r>
        <w:rPr>
          <w:rFonts w:ascii="Calibri" w:cs="Calibri" w:eastAsia="Calibri" w:hAnsi="Calibri"/>
          <w:sz w:val="23"/>
          <w:szCs w:val="23"/>
        </w:rPr>
        <w:t xml:space="preserve">A: Recommendation 1: the VOICE_INTENSITY trigger. It needs no new data collection — call intensity is already network-observable in real time. Configure a rule: when a subscriber's calls-per-active-day exceed their 30-day average by 20%, score them with the XGBoost model and push one segment-appropriate offer via USSD. Run it as the treatment arm of the A/B test in Kampala. Ninety days later we would have causal evidence for H3.</w:t>
      </w:r>
    </w:p>
    <w:p>
      <w:pPr>
        <w:spacing w:after="80" w:before="220"/>
      </w:pPr>
      <w:r>
        <w:rPr>
          <w:rFonts w:ascii="Calibri" w:cs="Calibri" w:eastAsia="Calibri" w:hAnsi="Calibri"/>
          <w:b/>
          <w:bCs/>
          <w:color w:val="E40000"/>
          <w:sz w:val="24"/>
          <w:szCs w:val="24"/>
        </w:rPr>
        <w:t xml:space="preserve">Q: How is this different from what Airtel already does with Airtel Money or My Airtel app offers?</w:t>
      </w:r>
    </w:p>
    <w:p>
      <w:pPr>
        <w:spacing w:after="140" w:line="300"/>
        <w:jc w:val="both"/>
      </w:pPr>
      <w:r>
        <w:rPr>
          <w:rFonts w:ascii="Calibri" w:cs="Calibri" w:eastAsia="Calibri" w:hAnsi="Calibri"/>
          <w:sz w:val="23"/>
          <w:szCs w:val="23"/>
        </w:rPr>
        <w:t xml:space="preserve">A: Current offers are segment-level and campaign-driven — everyone in an ARPU band receives the same push on the same schedule. My framework is individual-level and event-driven: the trigger is the subscriber's own behavioural deviation, and the offer is selected by a model scoring their specific profile. It shifts from 'broadcast to a band' to 'respond to a person at their moment of intent'.</w:t>
      </w:r>
    </w:p>
    <w:p>
      <w:pPr>
        <w:spacing w:after="80" w:before="220"/>
      </w:pPr>
      <w:r>
        <w:rPr>
          <w:rFonts w:ascii="Calibri" w:cs="Calibri" w:eastAsia="Calibri" w:hAnsi="Calibri"/>
          <w:b/>
          <w:bCs/>
          <w:color w:val="E40000"/>
          <w:sz w:val="24"/>
          <w:szCs w:val="24"/>
        </w:rPr>
        <w:t xml:space="preserve">Q: What are the risks of deploying this, and how would you mitigate them?</w:t>
      </w:r>
    </w:p>
    <w:p>
      <w:pPr>
        <w:spacing w:after="140" w:line="300"/>
        <w:jc w:val="both"/>
      </w:pPr>
      <w:r>
        <w:rPr>
          <w:rFonts w:ascii="Calibri" w:cs="Calibri" w:eastAsia="Calibri" w:hAnsi="Calibri"/>
          <w:sz w:val="23"/>
          <w:szCs w:val="23"/>
        </w:rPr>
        <w:t xml:space="preserve">A: Three main risks. Recommendation fatigue — mitigated by frequency capping and the intent-based trigger, which by design fires rarely. Model drift as bundles and behaviour change — mitigated by the weekly F1 monitoring and quarterly retraining in the governance framework. And fairness — the model must not systematically exclude low-income segments from beneficial offers; the closed-loop outcome logging lets us audit offer distribution across segments.</w:t>
      </w:r>
    </w:p>
    <w:p>
      <w:pPr>
        <w:spacing w:after="80" w:before="220"/>
      </w:pPr>
      <w:r>
        <w:rPr>
          <w:rFonts w:ascii="Calibri" w:cs="Calibri" w:eastAsia="Calibri" w:hAnsi="Calibri"/>
          <w:b/>
          <w:bCs/>
          <w:color w:val="E40000"/>
          <w:sz w:val="24"/>
          <w:szCs w:val="24"/>
        </w:rPr>
        <w:t xml:space="preserve">Q: What would you do differently if you started again?</w:t>
      </w:r>
    </w:p>
    <w:p>
      <w:pPr>
        <w:spacing w:after="140" w:line="300"/>
        <w:jc w:val="both"/>
      </w:pPr>
      <w:r>
        <w:rPr>
          <w:rFonts w:ascii="Calibri" w:cs="Calibri" w:eastAsia="Calibri" w:hAnsi="Calibri"/>
          <w:sz w:val="23"/>
          <w:szCs w:val="23"/>
        </w:rPr>
        <w:t xml:space="preserve">A: Three things. Secure a historical product catalogue at the start so all 738 bundle IDs join cleanly. Extract at least one festive season to capture annual cycles. And run the qualitative interviews earlier — insights from Airtel's commercial team about channel behaviour would have shaped my feature engineering sooner, particularly around MOST_FREQ_CHANNEL.</w:t>
      </w:r>
    </w:p>
    <w:p>
      <w:pPr>
        <w:spacing w:after="80" w:before="220"/>
      </w:pPr>
      <w:r>
        <w:rPr>
          <w:rFonts w:ascii="Calibri" w:cs="Calibri" w:eastAsia="Calibri" w:hAnsi="Calibri"/>
          <w:b/>
          <w:bCs/>
          <w:color w:val="E40000"/>
          <w:sz w:val="24"/>
          <w:szCs w:val="24"/>
        </w:rPr>
        <w:t xml:space="preserve">Q: What is the academic contribution beyond the business case?</w:t>
      </w:r>
    </w:p>
    <w:p>
      <w:pPr>
        <w:spacing w:after="140" w:line="300"/>
        <w:jc w:val="both"/>
      </w:pPr>
      <w:r>
        <w:rPr>
          <w:rFonts w:ascii="Calibri" w:cs="Calibri" w:eastAsia="Calibri" w:hAnsi="Calibri"/>
          <w:sz w:val="23"/>
          <w:szCs w:val="23"/>
        </w:rPr>
        <w:t xml:space="preserve">A: Four contributions. The first empirically validated ML bundle recommendation framework on real Ugandan operator data — prior studies use public or synthetic datasets. The SPEND_PER_MINUTE finding, which generalises: engineered efficiency ratios can outrank raw activity metrics in prepaid markets. A documented methodology for capped SMOTE on extremely imbalanced multi-class telecom data. And full reproducibility — the entire codebase, from SQL extraction to model evaluation, is open on GitHub.</w:t>
      </w:r>
    </w:p>
    <w:p>
      <w:pPr>
        <w:pStyle w:val="Heading1"/>
        <w:spacing w:after="140" w:before="300"/>
      </w:pPr>
      <w:r>
        <w:rPr>
          <w:rFonts w:ascii="Calibri" w:cs="Calibri" w:eastAsia="Calibri" w:hAnsi="Calibri"/>
          <w:b/>
          <w:bCs/>
          <w:color w:val="1E2761"/>
          <w:sz w:val="30"/>
          <w:szCs w:val="30"/>
        </w:rPr>
        <w:t xml:space="preserve">E. RAPID-FIRE NUMBERS — MEMORISE THESE</w:t>
      </w:r>
    </w:p>
    <w:p>
      <w:pPr>
        <w:spacing w:after="140" w:line="300"/>
        <w:jc w:val="both"/>
      </w:pPr>
      <w:r>
        <w:rPr>
          <w:rFonts w:ascii="Calibri" w:cs="Calibri" w:eastAsia="Calibri" w:hAnsi="Calibri"/>
          <w:sz w:val="23"/>
          <w:szCs w:val="23"/>
        </w:rPr>
        <w:t xml:space="preserve">A: Dataset: 1,458,900 subscribers · Feb 1–Apr 30 2026 · Kampala, Central 1, Central 2 · 738 voice/combo bundles · 35 features · 8 segments.</w:t>
      </w:r>
    </w:p>
    <w:p>
      <w:pPr>
        <w:spacing w:after="140" w:line="300"/>
        <w:jc w:val="both"/>
      </w:pPr>
      <w:r>
        <w:rPr>
          <w:rFonts w:ascii="Calibri" w:cs="Calibri" w:eastAsia="Calibri" w:hAnsi="Calibri"/>
          <w:sz w:val="23"/>
          <w:szCs w:val="23"/>
        </w:rPr>
        <w:t xml:space="preserve">A: Statistical tests: Spearman 34/35 significant · ANOVA 35/35 · Chi-Square 7/7 · α = 0.05 · UPGRADE_RATE the only non-significant (r=0.0004, p=0.65).</w:t>
      </w:r>
    </w:p>
    <w:p>
      <w:pPr>
        <w:spacing w:after="140" w:line="300"/>
        <w:jc w:val="both"/>
      </w:pPr>
      <w:r>
        <w:rPr>
          <w:rFonts w:ascii="Calibri" w:cs="Calibri" w:eastAsia="Calibri" w:hAnsi="Calibri"/>
          <w:sz w:val="23"/>
          <w:szCs w:val="23"/>
        </w:rPr>
        <w:t xml:space="preserve">A: Top Spearman |r|: IS_SMARTPHONE −0.068 · BUNDLE_SPEND_30D −0.067 · ACTIVE_DAYS −0.059 · AGE +0.053 (only positive).</w:t>
      </w:r>
    </w:p>
    <w:p>
      <w:pPr>
        <w:spacing w:after="140" w:line="300"/>
        <w:jc w:val="both"/>
      </w:pPr>
      <w:r>
        <w:rPr>
          <w:rFonts w:ascii="Calibri" w:cs="Calibri" w:eastAsia="Calibri" w:hAnsi="Calibri"/>
          <w:sz w:val="23"/>
          <w:szCs w:val="23"/>
        </w:rPr>
        <w:t xml:space="preserve">A: Models (weighted F1): LogReg 0.4465 · Tree 0.6344 · RF 0.6522 · XGBoost 0.6611 · range 0.2146 · accuracy 0.680 · precision 0.670.</w:t>
      </w:r>
    </w:p>
    <w:p>
      <w:pPr>
        <w:spacing w:after="140" w:line="300"/>
        <w:jc w:val="both"/>
      </w:pPr>
      <w:r>
        <w:rPr>
          <w:rFonts w:ascii="Calibri" w:cs="Calibri" w:eastAsia="Calibri" w:hAnsi="Calibri"/>
          <w:sz w:val="23"/>
          <w:szCs w:val="23"/>
        </w:rPr>
        <w:t xml:space="preserve">A: Feature importance: TOTAL_REVENUE 18.01% · SPEND_PER_MINUTE 6.57% · CALLS 5.97% · VOICE_INTENSITY 5.87% · MOBILE_MONEY 4.64% · top-5 = 41.06%.</w:t>
      </w:r>
    </w:p>
    <w:p>
      <w:pPr>
        <w:spacing w:after="140" w:line="300"/>
        <w:jc w:val="both"/>
      </w:pPr>
      <w:r>
        <w:rPr>
          <w:rFonts w:ascii="Calibri" w:cs="Calibri" w:eastAsia="Calibri" w:hAnsi="Calibri"/>
          <w:sz w:val="23"/>
          <w:szCs w:val="23"/>
        </w:rPr>
        <w:t xml:space="preserve">A: Per-class F1 (XGBoost): Silver 0.79 · Platinum 0.71 · Diamond 0.56 · New 0.53 · Super Gold 0.46 · Ivory 0.33.</w:t>
      </w:r>
    </w:p>
    <w:p>
      <w:pPr>
        <w:spacing w:after="140" w:line="300"/>
        <w:jc w:val="both"/>
      </w:pPr>
      <w:r>
        <w:rPr>
          <w:rFonts w:ascii="Calibri" w:cs="Calibri" w:eastAsia="Calibri" w:hAnsi="Calibri"/>
          <w:sz w:val="23"/>
          <w:szCs w:val="23"/>
        </w:rPr>
        <w:t xml:space="preserve">A: Sample size formula: n = Z²·p(1−p)/e² = 384.16 ≈ 385 (Cochran 1977; Saunders et al. 2019). Actual N exceeds this ~3,800-fold.</w:t>
      </w:r>
    </w:p>
    <w:p>
      <w:pPr>
        <w:spacing w:after="140" w:line="300"/>
        <w:jc w:val="both"/>
      </w:pPr>
      <w:r>
        <w:rPr>
          <w:rFonts w:ascii="Calibri" w:cs="Calibri" w:eastAsia="Calibri" w:hAnsi="Calibri"/>
          <w:sz w:val="23"/>
          <w:szCs w:val="23"/>
        </w:rPr>
        <w:t xml:space="preserve">A: Projected impact: conversion 3% → 12–15% · ARPU +9% · satisfaction +15–20% (McKinsey 2022; 2024 benchmarks).</w:t>
      </w:r>
    </w:p>
    <w:p>
      <w:pPr>
        <w:pStyle w:val="Heading1"/>
        <w:spacing w:after="140" w:before="300"/>
      </w:pPr>
      <w:r>
        <w:rPr>
          <w:rFonts w:ascii="Calibri" w:cs="Calibri" w:eastAsia="Calibri" w:hAnsi="Calibri"/>
          <w:b/>
          <w:bCs/>
          <w:color w:val="1E2761"/>
          <w:sz w:val="30"/>
          <w:szCs w:val="30"/>
        </w:rPr>
        <w:t xml:space="preserve">F. DELIVERY REMINDERS (from the Coordinator)</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12 minutes, not 15 — rehearse with a timer at the mock on Tuesday.</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Present, don't read. Slides carry numbers; you carry the story.</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If a panellist identifies a gap: 'Thank you — that's a fair observation and a valuable direction I did not cover.' Never argue.</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Bridge every hard question back to a strength: honesty about limitations → the A/B test recommendation; low minority-class F1 → capped SMOTE rationale → future cost-sensitive learning.</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Pause before answering. A two-second pause reads as thoughtfulness, not hesitation.</w:t>
      </w:r>
    </w:p>
    <w:p>
      <w:pPr>
        <w:spacing w:after="140"/>
      </w:pPr>
      <w:r>
        <w:rPr>
          <w:rFonts w:ascii="Calibri" w:cs="Calibri" w:eastAsia="Calibri" w:hAnsi="Calibri"/>
          <w:color w:val="1E2761"/>
          <w:sz w:val="22"/>
          <w:szCs w:val="22"/>
        </w:rPr>
        <w:t xml:space="preserve">⚑ </w:t>
      </w:r>
      <w:r>
        <w:rPr>
          <w:rFonts w:ascii="Calibri" w:cs="Calibri" w:eastAsia="Calibri" w:hAnsi="Calibri"/>
          <w:i/>
          <w:iCs/>
          <w:color w:val="5A6478"/>
          <w:sz w:val="21"/>
          <w:szCs w:val="21"/>
        </w:rPr>
        <w:t xml:space="preserve">Navy or charcoal suit, white/light-blue shirt, polished shoes. Arrive 30 minutes early. Water, not coffee.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2026-07-21T00:39:00.101Z</dcterms:created>
  <dcterms:modified xsi:type="dcterms:W3CDTF">2026-07-21T00:39:00.103Z</dcterms:modified>
</cp:coreProperties>
</file>

<file path=docProps/custom.xml><?xml version="1.0" encoding="utf-8"?>
<Properties xmlns="http://schemas.openxmlformats.org/officeDocument/2006/custom-properties" xmlns:vt="http://schemas.openxmlformats.org/officeDocument/2006/docPropsVTypes"/>
</file>