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i w:val="false"/>
          <w:iCs w:val="false"/>
          <w:color w:val="6b7280"/>
          <w:sz w:val="20"/>
          <w:szCs w:val="20"/>
        </w:rPr>
        <w:t xml:space="preserve">DOCUMENTACIÓN TÉCNICA</w:t>
      </w:r>
    </w:p>
    <w:p>
      <w:pPr>
        <w:spacing w:before="0" w:after="0"/>
        <w:jc w:val="center"/>
      </w:pPr>
      <w:r>
        <w:rPr>
          <w:rFonts w:ascii="Arial" w:cs="Arial" w:eastAsia="Arial" w:hAnsi="Arial"/>
          <w:b/>
          <w:bCs/>
          <w:i w:val="false"/>
          <w:iCs w:val="false"/>
          <w:color w:val="1a1a2e"/>
          <w:sz w:val="52"/>
          <w:szCs w:val="52"/>
        </w:rPr>
        <w:t xml:space="preserve">Arquitectura de</w:t>
      </w:r>
    </w:p>
    <w:p>
      <w:pPr>
        <w:spacing w:before="0" w:after="200"/>
        <w:jc w:val="center"/>
      </w:pPr>
      <w:r>
        <w:rPr>
          <w:rFonts w:ascii="Arial" w:cs="Arial" w:eastAsia="Arial" w:hAnsi="Arial"/>
          <w:b/>
          <w:bCs/>
          <w:i w:val="false"/>
          <w:iCs w:val="false"/>
          <w:color w:val="0f6e56"/>
          <w:sz w:val="52"/>
          <w:szCs w:val="52"/>
        </w:rPr>
        <w:t xml:space="preserve">Supabase Storage</w:t>
      </w:r>
    </w:p>
    <w:p>
      <w:pPr>
        <w:spacing w:before="0" w:after="480"/>
        <w:jc w:val="center"/>
      </w:pPr>
      <w:r>
        <w:rPr>
          <w:rFonts w:ascii="Arial" w:cs="Arial" w:eastAsia="Arial" w:hAnsi="Arial"/>
          <w:b w:val="false"/>
          <w:bCs w:val="false"/>
          <w:i w:val="false"/>
          <w:iCs w:val="false"/>
          <w:color w:val="6b7280"/>
          <w:sz w:val="22"/>
          <w:szCs w:val="22"/>
        </w:rPr>
        <w:t xml:space="preserve">Integración con PostgreSQL · Seguridad · Flujos de subida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4"/>
              <w:left w:val="single" w:color="0f6e56" w:sz="4"/>
              <w:bottom w:val="single" w:color="0f6e56" w:sz="4"/>
              <w:right w:val="single" w:color="0f6e56" w:sz="4"/>
            </w:tcBorders>
            <w:shd w:fill="e1f5ee" w:val="clear"/>
            <w:tcMar>
              <w:top w:type="dxa" w:w="100"/>
              <w:left w:type="dxa" w:w="140"/>
              <w:bottom w:type="dxa" w:w="100"/>
              <w:right w:type="dxa" w:w="140"/>
            </w:tcMar>
          </w:tcPr>
          <w:p>
            <w:pPr>
              <w:spacing w:before="0" w:after="20"/>
              <w:jc w:val="center"/>
            </w:pPr>
            <w:r>
              <w:rPr>
                <w:rFonts w:ascii="Arial" w:cs="Arial" w:eastAsia="Arial" w:hAnsi="Arial"/>
                <w:b/>
                <w:bCs/>
                <w:i w:val="false"/>
                <w:iCs w:val="false"/>
                <w:color w:val="0f6e56"/>
                <w:sz w:val="20"/>
                <w:szCs w:val="20"/>
              </w:rPr>
              <w:t xml:space="preserve">Scripts</w:t>
            </w:r>
          </w:p>
          <w:p>
            <w:pPr>
              <w:spacing w:before="0" w:after="0"/>
              <w:jc w:val="center"/>
            </w:pPr>
            <w:r>
              <w:rPr>
                <w:rFonts w:ascii="Arial" w:cs="Arial" w:eastAsia="Arial" w:hAnsi="Arial"/>
                <w:b w:val="false"/>
                <w:bCs w:val="false"/>
                <w:i w:val="false"/>
                <w:iCs w:val="false"/>
                <w:color w:val="1a1a2e"/>
                <w:sz w:val="18"/>
                <w:szCs w:val="18"/>
              </w:rPr>
              <w:t xml:space="preserve">3 ejecutados</w:t>
            </w:r>
          </w:p>
        </w:tc>
        <w:tc>
          <w:tcPr>
            <w:tcW w:type="dxa" w:w="2340"/>
            <w:tcBorders>
              <w:top w:val="single" w:color="0f6e56" w:sz="4"/>
              <w:left w:val="single" w:color="0f6e56" w:sz="4"/>
              <w:bottom w:val="single" w:color="0f6e56" w:sz="4"/>
              <w:right w:val="single" w:color="0f6e56" w:sz="4"/>
            </w:tcBorders>
            <w:shd w:fill="e1f5ee" w:val="clear"/>
            <w:tcMar>
              <w:top w:type="dxa" w:w="100"/>
              <w:left w:type="dxa" w:w="140"/>
              <w:bottom w:type="dxa" w:w="100"/>
              <w:right w:type="dxa" w:w="140"/>
            </w:tcMar>
          </w:tcPr>
          <w:p>
            <w:pPr>
              <w:spacing w:before="0" w:after="20"/>
              <w:jc w:val="center"/>
            </w:pPr>
            <w:r>
              <w:rPr>
                <w:rFonts w:ascii="Arial" w:cs="Arial" w:eastAsia="Arial" w:hAnsi="Arial"/>
                <w:b/>
                <w:bCs/>
                <w:i w:val="false"/>
                <w:iCs w:val="false"/>
                <w:color w:val="0f6e56"/>
                <w:sz w:val="20"/>
                <w:szCs w:val="20"/>
              </w:rPr>
              <w:t xml:space="preserve">Buckets</w:t>
            </w:r>
          </w:p>
          <w:p>
            <w:pPr>
              <w:spacing w:before="0" w:after="0"/>
              <w:jc w:val="center"/>
            </w:pPr>
            <w:r>
              <w:rPr>
                <w:rFonts w:ascii="Arial" w:cs="Arial" w:eastAsia="Arial" w:hAnsi="Arial"/>
                <w:b w:val="false"/>
                <w:bCs w:val="false"/>
                <w:i w:val="false"/>
                <w:iCs w:val="false"/>
                <w:color w:val="1a1a2e"/>
                <w:sz w:val="18"/>
                <w:szCs w:val="18"/>
              </w:rPr>
              <w:t xml:space="preserve">5 configurados</w:t>
            </w:r>
          </w:p>
        </w:tc>
        <w:tc>
          <w:tcPr>
            <w:tcW w:type="dxa" w:w="2340"/>
            <w:tcBorders>
              <w:top w:val="single" w:color="0f6e56" w:sz="4"/>
              <w:left w:val="single" w:color="0f6e56" w:sz="4"/>
              <w:bottom w:val="single" w:color="0f6e56" w:sz="4"/>
              <w:right w:val="single" w:color="0f6e56" w:sz="4"/>
            </w:tcBorders>
            <w:shd w:fill="e1f5ee" w:val="clear"/>
            <w:tcMar>
              <w:top w:type="dxa" w:w="100"/>
              <w:left w:type="dxa" w:w="140"/>
              <w:bottom w:type="dxa" w:w="100"/>
              <w:right w:type="dxa" w:w="140"/>
            </w:tcMar>
          </w:tcPr>
          <w:p>
            <w:pPr>
              <w:spacing w:before="0" w:after="20"/>
              <w:jc w:val="center"/>
            </w:pPr>
            <w:r>
              <w:rPr>
                <w:rFonts w:ascii="Arial" w:cs="Arial" w:eastAsia="Arial" w:hAnsi="Arial"/>
                <w:b/>
                <w:bCs/>
                <w:i w:val="false"/>
                <w:iCs w:val="false"/>
                <w:color w:val="0f6e56"/>
                <w:sz w:val="20"/>
                <w:szCs w:val="20"/>
              </w:rPr>
              <w:t xml:space="preserve">RLS Policies</w:t>
            </w:r>
          </w:p>
          <w:p>
            <w:pPr>
              <w:spacing w:before="0" w:after="0"/>
              <w:jc w:val="center"/>
            </w:pPr>
            <w:r>
              <w:rPr>
                <w:rFonts w:ascii="Arial" w:cs="Arial" w:eastAsia="Arial" w:hAnsi="Arial"/>
                <w:b w:val="false"/>
                <w:bCs w:val="false"/>
                <w:i w:val="false"/>
                <w:iCs w:val="false"/>
                <w:color w:val="1a1a2e"/>
                <w:sz w:val="18"/>
                <w:szCs w:val="18"/>
              </w:rPr>
              <w:t xml:space="preserve">15 activas</w:t>
            </w:r>
          </w:p>
        </w:tc>
        <w:tc>
          <w:tcPr>
            <w:tcW w:type="dxa" w:w="2340"/>
            <w:tcBorders>
              <w:top w:val="single" w:color="0f6e56" w:sz="4"/>
              <w:left w:val="single" w:color="0f6e56" w:sz="4"/>
              <w:bottom w:val="single" w:color="0f6e56" w:sz="4"/>
              <w:right w:val="single" w:color="0f6e56" w:sz="4"/>
            </w:tcBorders>
            <w:shd w:fill="e1f5ee" w:val="clear"/>
            <w:tcMar>
              <w:top w:type="dxa" w:w="100"/>
              <w:left w:type="dxa" w:w="140"/>
              <w:bottom w:type="dxa" w:w="100"/>
              <w:right w:type="dxa" w:w="140"/>
            </w:tcMar>
          </w:tcPr>
          <w:p>
            <w:pPr>
              <w:spacing w:before="0" w:after="20"/>
              <w:jc w:val="center"/>
            </w:pPr>
            <w:r>
              <w:rPr>
                <w:rFonts w:ascii="Arial" w:cs="Arial" w:eastAsia="Arial" w:hAnsi="Arial"/>
                <w:b/>
                <w:bCs/>
                <w:i w:val="false"/>
                <w:iCs w:val="false"/>
                <w:color w:val="0f6e56"/>
                <w:sz w:val="20"/>
                <w:szCs w:val="20"/>
              </w:rPr>
              <w:t xml:space="preserve">Constraints DB</w:t>
            </w:r>
          </w:p>
          <w:p>
            <w:pPr>
              <w:spacing w:before="0" w:after="0"/>
              <w:jc w:val="center"/>
            </w:pPr>
            <w:r>
              <w:rPr>
                <w:rFonts w:ascii="Arial" w:cs="Arial" w:eastAsia="Arial" w:hAnsi="Arial"/>
                <w:b w:val="false"/>
                <w:bCs w:val="false"/>
                <w:i w:val="false"/>
                <w:iCs w:val="false"/>
                <w:color w:val="1a1a2e"/>
                <w:sz w:val="18"/>
                <w:szCs w:val="18"/>
              </w:rPr>
              <w:t xml:space="preserve">10 activos</w:t>
            </w:r>
          </w:p>
        </w:tc>
      </w:tr>
    </w:tbl>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1a1a2e"/>
                <w:sz w:val="20"/>
                <w:szCs w:val="20"/>
              </w:rPr>
              <w:t xml:space="preserve">Proyecto</w:t>
            </w:r>
          </w:p>
        </w:tc>
        <w:tc>
          <w:tcPr>
            <w:tcW w:type="dxa" w:w="75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E-commerce B2B con producción personalizada e IA</w:t>
            </w:r>
          </w:p>
        </w:tc>
      </w:tr>
      <w:tr>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1a1a2e"/>
                <w:sz w:val="20"/>
                <w:szCs w:val="20"/>
              </w:rPr>
              <w:t xml:space="preserve">Stack</w:t>
            </w:r>
          </w:p>
        </w:tc>
        <w:tc>
          <w:tcPr>
            <w:tcW w:type="dxa" w:w="75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Supabase (PostgreSQL + Storage) · Next.js / React</w:t>
            </w:r>
          </w:p>
        </w:tc>
      </w:tr>
      <w:tr>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1a1a2e"/>
                <w:sz w:val="20"/>
                <w:szCs w:val="20"/>
              </w:rPr>
              <w:t xml:space="preserve">Versión doc.</w:t>
            </w:r>
          </w:p>
        </w:tc>
        <w:tc>
          <w:tcPr>
            <w:tcW w:type="dxa" w:w="75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1.0 — Inicial</w:t>
            </w:r>
          </w:p>
        </w:tc>
      </w:tr>
      <w:tr>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1a1a2e"/>
                <w:sz w:val="20"/>
                <w:szCs w:val="20"/>
              </w:rPr>
              <w:t xml:space="preserve">Estado</w:t>
            </w:r>
          </w:p>
        </w:tc>
        <w:tc>
          <w:tcPr>
            <w:tcW w:type="dxa" w:w="75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Scripts 01, 02 y 03 ejecutados y verificados en producción</w:t>
            </w:r>
          </w:p>
        </w:tc>
      </w:tr>
    </w:tbl>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1. Visión general</w:t>
      </w:r>
    </w:p>
    <w:p>
      <w:pPr>
        <w:spacing w:before="60" w:after="60"/>
        <w:jc w:val="left"/>
      </w:pPr>
      <w:r>
        <w:rPr>
          <w:rFonts w:ascii="Arial" w:cs="Arial" w:eastAsia="Arial" w:hAnsi="Arial"/>
          <w:b w:val="false"/>
          <w:bCs w:val="false"/>
          <w:i w:val="false"/>
          <w:iCs w:val="false"/>
          <w:color w:val="1a1a2e"/>
          <w:sz w:val="22"/>
          <w:szCs w:val="22"/>
        </w:rPr>
        <w:t xml:space="preserve">El sistema de almacenamiento está construido sobre Supabase Storage, integrado directamente con la base de datos PostgreSQL del proyecto. La arquitectura sigue tres principios fundamentales:</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Separación de acceso: cada tipo de archivo vive en su propio bucket según su nivel de visibilidad y ciclo de vida.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Fuente de verdad única: la tabla file_assets en PostgreSQL es el único registro autoritativo de qué archivos existen, a quién pertenecen y dónde están almacenados.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Seguridad por diseño: el acceso a cada archivo está controlado por RLS policies (Row Level Security) que se evalúan en el motor de base de datos, no en el frontend.</w:t>
      </w:r>
    </w:p>
    <w:p>
      <w:pPr>
        <w:spacing w:before="120" w:after="0"/>
      </w:pPr>
      <w:r>
        <w:t xml:space="preserve"/>
      </w:r>
    </w:p>
    <w:p>
      <w:pPr>
        <w:spacing w:before="60" w:after="60"/>
        <w:jc w:val="left"/>
      </w:pPr>
      <w:r>
        <w:rPr>
          <w:rFonts w:ascii="Arial" w:cs="Arial" w:eastAsia="Arial" w:hAnsi="Arial"/>
          <w:b w:val="false"/>
          <w:bCs w:val="false"/>
          <w:i w:val="false"/>
          <w:iCs w:val="false"/>
          <w:color w:val="1a1a2e"/>
          <w:sz w:val="22"/>
          <w:szCs w:val="22"/>
        </w:rPr>
        <w:t xml:space="preserve">El sistema maneja cinco categorías de archivos con requisitos distintos: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Categoría</w:t>
            </w:r>
          </w:p>
        </w:tc>
        <w:tc>
          <w:tcPr>
            <w:tcW w:type="dxa" w:w="18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Bucket</w:t>
            </w:r>
          </w:p>
        </w:tc>
        <w:tc>
          <w:tcPr>
            <w:tcW w:type="dxa" w:w="18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Acceso</w:t>
            </w:r>
          </w:p>
        </w:tc>
        <w:tc>
          <w:tcPr>
            <w:tcW w:type="dxa" w:w="356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Entidad propietaria</w:t>
            </w:r>
          </w:p>
        </w:tc>
      </w:tr>
      <w:tr>
        <w:tc>
          <w:tcPr>
            <w:tcW w:type="dxa" w:w="2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Imágenes de productos</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product-catalog</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PÚBLICO</w:t>
            </w:r>
          </w:p>
        </w:tc>
        <w:tc>
          <w:tcPr>
            <w:tcW w:type="dxa" w:w="35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products</w:t>
            </w:r>
          </w:p>
        </w:tc>
      </w:tr>
      <w:tr>
        <w:tc>
          <w:tcPr>
            <w:tcW w:type="dxa" w:w="2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Logos y branding</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company-assets</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Privado</w:t>
            </w:r>
          </w:p>
        </w:tc>
        <w:tc>
          <w:tcPr>
            <w:tcW w:type="dxa" w:w="35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companies</w:t>
            </w:r>
          </w:p>
        </w:tc>
      </w:tr>
      <w:tr>
        <w:tc>
          <w:tcPr>
            <w:tcW w:type="dxa" w:w="2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Imágenes de referencia</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order-references</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Privado</w:t>
            </w:r>
          </w:p>
        </w:tc>
        <w:tc>
          <w:tcPr>
            <w:tcW w:type="dxa" w:w="35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order_items</w:t>
            </w:r>
          </w:p>
        </w:tc>
      </w:tr>
      <w:tr>
        <w:tc>
          <w:tcPr>
            <w:tcW w:type="dxa" w:w="2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Imágenes generadas por IA</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ai-generated</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Privado</w:t>
            </w:r>
          </w:p>
        </w:tc>
        <w:tc>
          <w:tcPr>
            <w:tcW w:type="dxa" w:w="35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order_items</w:t>
            </w:r>
          </w:p>
        </w:tc>
      </w:tr>
      <w:tr>
        <w:tc>
          <w:tcPr>
            <w:tcW w:type="dxa" w:w="2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Documentos y facturas</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documents</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Privado</w:t>
            </w:r>
          </w:p>
        </w:tc>
        <w:tc>
          <w:tcPr>
            <w:tcW w:type="dxa" w:w="35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transactions</w:t>
            </w:r>
          </w:p>
        </w:tc>
      </w:tr>
    </w:tbl>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2. Buckets de Storage (Script 01)</w:t>
      </w:r>
    </w:p>
    <w:p>
      <w:pPr>
        <w:spacing w:before="60" w:after="60"/>
        <w:jc w:val="left"/>
      </w:pPr>
      <w:r>
        <w:rPr>
          <w:rFonts w:ascii="Arial" w:cs="Arial" w:eastAsia="Arial" w:hAnsi="Arial"/>
          <w:b w:val="false"/>
          <w:bCs w:val="false"/>
          <w:i w:val="false"/>
          <w:iCs w:val="false"/>
          <w:color w:val="1a1a2e"/>
          <w:sz w:val="22"/>
          <w:szCs w:val="22"/>
        </w:rPr>
        <w:t xml:space="preserve">Los buckets se crearon con límites estrictos de tamaño y tipos MIME permitidos. La configuración es inmutable desde el SQL Editor — cualquier cambio debe hacerse a través del Dashboard de Supabase o la API de administración.</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2.1 product-catalog</w:t>
      </w:r>
    </w:p>
    <w:p>
      <w:pPr>
        <w:spacing w:before="60" w:after="60"/>
        <w:jc w:val="left"/>
      </w:pPr>
      <w:r>
        <w:rPr>
          <w:rFonts w:ascii="Arial" w:cs="Arial" w:eastAsia="Arial" w:hAnsi="Arial"/>
          <w:b w:val="false"/>
          <w:bCs w:val="false"/>
          <w:i w:val="false"/>
          <w:iCs w:val="false"/>
          <w:color w:val="1a1a2e"/>
          <w:sz w:val="22"/>
          <w:szCs w:val="22"/>
        </w:rPr>
        <w:t xml:space="preserve">El único bucket público del sistema. Sus URLs son accesibles directamente desde el browser sin ningún token de autenticación, lo que permite integración con CDN y carga rápida en el catálogo público.</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Visibilidad: pública (cualquier visitante puede acceder)</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Tamaño máximo: 10 MB por archivo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Tipos permitidos: image/jpeg, image/png, image/webp, image/gif</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Estructura de path: {company_id}/{product_id}/{filename}.{ext}</w:t>
      </w:r>
    </w:p>
    <w:p>
      <w:pPr>
        <w:spacing w:before="60" w:after="0"/>
      </w:pPr>
      <w:r>
        <w:t xml:space="preserve"/>
      </w:r>
    </w:p>
    <w:p>
      <w:pPr>
        <w:pBdr>
          <w:top w:val="single" w:color="c8d8e8" w:sz="4"/>
          <w:left w:val="single" w:color="0f6e56" w:sz="12"/>
        </w:pBdr>
        <w:shd w:fill="f1f5f9" w:val="clear"/>
        <w:spacing w:before="80" w:after="0"/>
        <w:ind w:left="360"/>
      </w:pPr>
      <w:r>
        <w:rPr>
          <w:rFonts w:ascii="Courier New" w:cs="Courier New" w:eastAsia="Courier New" w:hAnsi="Courier New"/>
          <w:color w:val="1e3a5f"/>
          <w:sz w:val="18"/>
          <w:szCs w:val="18"/>
        </w:rPr>
        <w:t xml:space="preserve">Ejemplo de URL pública:</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https://{project}.supabase.co/storage/v1/object/public/product-catalog/42/187/main.webp</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bottom w:val="single" w:color="c8d8e8" w:sz="4"/>
          <w:left w:val="single" w:color="0f6e56" w:sz="12"/>
        </w:pBdr>
        <w:shd w:fill="f1f5f9" w:val="clear"/>
        <w:spacing w:before="0" w:after="80"/>
        <w:ind w:left="360"/>
      </w:pPr>
      <w:r>
        <w:rPr>
          <w:rFonts w:ascii="Courier New" w:cs="Courier New" w:eastAsia="Courier New" w:hAnsi="Courier New"/>
          <w:color w:val="1e3a5f"/>
          <w:sz w:val="18"/>
          <w:szCs w:val="18"/>
        </w:rPr>
        <w:t xml:space="preserve">Donde:  42  = company_id  |  187 = product_id  |  main.webp = archivo</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2.2 company-assets</w:t>
      </w:r>
    </w:p>
    <w:p>
      <w:pPr>
        <w:spacing w:before="60" w:after="60"/>
        <w:jc w:val="left"/>
      </w:pPr>
      <w:r>
        <w:rPr>
          <w:rFonts w:ascii="Arial" w:cs="Arial" w:eastAsia="Arial" w:hAnsi="Arial"/>
          <w:b w:val="false"/>
          <w:bCs w:val="false"/>
          <w:i w:val="false"/>
          <w:iCs w:val="false"/>
          <w:color w:val="1a1a2e"/>
          <w:sz w:val="22"/>
          <w:szCs w:val="22"/>
        </w:rPr>
        <w:t xml:space="preserve">Almacena logos y banners de cada empresa. Es el único bucket que acepta SVG, porque los logos vectoriales requieren ese formato y el acceso está restringido a administradores de la empresa (no a usuarios anónimos que podrían subir SVGs maliciosos).</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Visibilidad: privada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Tamaño máximo: 10 MB por archivo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Tipos permitidos: image/jpeg, image/png, image/webp, image/svg+xml</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Estructura de path: {company_id}/logo.svg  |  {company_id}/banner.webp</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2.3 order-references</w:t>
      </w:r>
    </w:p>
    <w:p>
      <w:pPr>
        <w:spacing w:before="60" w:after="60"/>
        <w:jc w:val="left"/>
      </w:pPr>
      <w:r>
        <w:rPr>
          <w:rFonts w:ascii="Arial" w:cs="Arial" w:eastAsia="Arial" w:hAnsi="Arial"/>
          <w:b w:val="false"/>
          <w:bCs w:val="false"/>
          <w:i w:val="false"/>
          <w:iCs w:val="false"/>
          <w:color w:val="1a1a2e"/>
          <w:sz w:val="22"/>
          <w:szCs w:val="22"/>
        </w:rPr>
        <w:t xml:space="preserve">Contiene las imágenes de referencia que el cliente sube al crear o editar un ítem de su pedido. El cliente sube directamente desde el browser (sin pasar por el backend), pero la RLS policy garantiza que solo puede escribir en su propio company_id.</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Visibilidad: privada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Tamaño máximo: 10 MB por archivo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Tipos permitidos: image/jpeg, image/png, image/webp</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Estructura de path: {company_id}/{order_id}/{order_item_id}/{filename}.{ext}</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2.4 ai-generated</w:t>
      </w:r>
    </w:p>
    <w:p>
      <w:pPr>
        <w:spacing w:before="60" w:after="60"/>
        <w:jc w:val="left"/>
      </w:pPr>
      <w:r>
        <w:rPr>
          <w:rFonts w:ascii="Arial" w:cs="Arial" w:eastAsia="Arial" w:hAnsi="Arial"/>
          <w:b w:val="false"/>
          <w:bCs w:val="false"/>
          <w:i w:val="false"/>
          <w:iCs w:val="false"/>
          <w:color w:val="1a1a2e"/>
          <w:sz w:val="22"/>
          <w:szCs w:val="22"/>
        </w:rPr>
        <w:t xml:space="preserve">Almacena las imágenes generadas por IA para cada order_item. Es el bucket más restringido: no existe ninguna RLS policy de escritura para usuarios autenticados. Solo el backend con service_role key puede subir archivos aquí.</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Visibilidad: privada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Tamaño máximo: 10 MB por archivo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Tipos permitidos: image/webp (preferido), image/png, image/jpeg</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Estructura de path: {company_id}/{order_id}/{order_item_id}/{timestamp}_v{N}.webp</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Escritura: exclusivamente desde el backend con service_role. El browser recibe 403 si intenta subir directamente.</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2.5 documents</w:t>
      </w:r>
    </w:p>
    <w:p>
      <w:pPr>
        <w:spacing w:before="60" w:after="60"/>
        <w:jc w:val="left"/>
      </w:pPr>
      <w:r>
        <w:rPr>
          <w:rFonts w:ascii="Arial" w:cs="Arial" w:eastAsia="Arial" w:hAnsi="Arial"/>
          <w:b w:val="false"/>
          <w:bCs w:val="false"/>
          <w:i w:val="false"/>
          <w:iCs w:val="false"/>
          <w:color w:val="1a1a2e"/>
          <w:sz w:val="22"/>
          <w:szCs w:val="22"/>
        </w:rPr>
        <w:t xml:space="preserve">Facturas, comprobantes de pago y documentos legales. La generación automática de facturas la realiza el backend con service_role. Los usuarios pueden leer sus propios documentos pero no crearlos ni eliminarlos.</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Visibilidad: privada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Tamaño máximo: 25 MB por archivo (los PDFs con imágenes pueden ser grandes)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Tipos permitidos: application/pdf, .xlsx, .docx</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Estructura de path: {company_id}/{order_id}/invoice_{order_id}.pdf</w:t>
      </w:r>
    </w:p>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3. Tabla file_assets — Puente DB ↔ Storage (Script 02)</w:t>
      </w:r>
    </w:p>
    <w:p>
      <w:pPr>
        <w:spacing w:before="60" w:after="60"/>
        <w:jc w:val="left"/>
      </w:pPr>
      <w:r>
        <w:rPr>
          <w:rFonts w:ascii="Arial" w:cs="Arial" w:eastAsia="Arial" w:hAnsi="Arial"/>
          <w:b w:val="false"/>
          <w:bCs w:val="false"/>
          <w:i w:val="false"/>
          <w:iCs w:val="false"/>
          <w:color w:val="1a1a2e"/>
          <w:sz w:val="22"/>
          <w:szCs w:val="22"/>
        </w:rPr>
        <w:t xml:space="preserve">La tabla file_assets es la pieza central de la arquitectura. Supabase Storage guarda los bytes del archivo; file_assets guarda el significado: a quién pertenece, qué tipo es, cuándo se subió y cómo se relaciona con el negocio.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6"/>
              <w:left w:val="single" w:color="f0ad4e" w:sz="18"/>
              <w:bottom w:val="single" w:color="f0ad4e" w:sz="6"/>
              <w:right w:val="single" w:color="f0ad4e" w:sz="6"/>
            </w:tcBorders>
            <w:shd w:fill="fff3cd"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1a1a2e"/>
                <w:sz w:val="22"/>
                <w:szCs w:val="22"/>
              </w:rPr>
              <w:t xml:space="preserve">⚠  </w:t>
            </w:r>
            <w:r>
              <w:rPr>
                <w:rFonts w:ascii="Arial" w:cs="Arial" w:eastAsia="Arial" w:hAnsi="Arial"/>
                <w:b w:val="false"/>
                <w:bCs w:val="false"/>
                <w:i w:val="false"/>
                <w:iCs w:val="false"/>
                <w:color w:val="1a1a2e"/>
                <w:sz w:val="22"/>
                <w:szCs w:val="22"/>
              </w:rPr>
              <w:t xml:space="preserve">Regla fundamental: nunca construir URLs de Storage a partir de datos en otras tablas. Siempre obtener el storage_path desde file_assets y construir la URL desde ahí. Esto garantiza que un cambio de bucket o path no rompa el sistema.</w:t>
            </w:r>
          </w:p>
        </w:tc>
      </w:tr>
    </w:tbl>
    <w:p>
      <w:pPr>
        <w:spacing w:before="80" w:after="0"/>
      </w:pPr>
      <w:r>
        <w:t xml:space="preserve"/>
      </w:r>
    </w:p>
    <w:p>
      <w:pPr>
        <w:pStyle w:val="Heading2"/>
        <w:spacing w:before="280" w:after="120"/>
      </w:pPr>
      <w:r>
        <w:rPr>
          <w:rFonts w:ascii="Arial" w:cs="Arial" w:eastAsia="Arial" w:hAnsi="Arial"/>
          <w:b/>
          <w:bCs/>
          <w:color w:val="1a1a2e"/>
          <w:sz w:val="28"/>
          <w:szCs w:val="28"/>
        </w:rPr>
        <w:t xml:space="preserve">3.1 Estructura de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Columna</w:t>
            </w:r>
          </w:p>
        </w:tc>
        <w:tc>
          <w:tcPr>
            <w:tcW w:type="dxa" w:w="16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Tipo</w:t>
            </w:r>
          </w:p>
        </w:tc>
        <w:tc>
          <w:tcPr>
            <w:tcW w:type="dxa" w:w="12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Nullable</w:t>
            </w:r>
          </w:p>
        </w:tc>
        <w:tc>
          <w:tcPr>
            <w:tcW w:type="dxa" w:w="416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Descripción</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id</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integer</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0f6e56"/>
                <w:sz w:val="20"/>
                <w:szCs w:val="20"/>
              </w:rPr>
              <w:t xml:space="preserve">NO</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Clave primaria autogenerada</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bucket_name</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text</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0f6e56"/>
                <w:sz w:val="20"/>
                <w:szCs w:val="20"/>
              </w:rPr>
              <w:t xml:space="preserve">NO</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Nombre del bucket (product-catalog, ai-generated, etc.)</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storage_path</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text</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0f6e56"/>
                <w:sz w:val="20"/>
                <w:szCs w:val="20"/>
              </w:rPr>
              <w:t xml:space="preserve">NO</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Path completo dentro del bucket sin slash inicial</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file_type</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enum</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0f6e56"/>
                <w:sz w:val="20"/>
                <w:szCs w:val="20"/>
              </w:rPr>
              <w:t xml:space="preserve">NO</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Clasificación del archivo (ver Sección 3.2)</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mime_type</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text</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Tipo MIME del archivo (image/webp, application/pdf…)</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size_bytes</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bigint</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Tamaño del archivo en bytes</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sort_order</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smallint</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para product_gallery: posición en la galería (0-based)</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integer</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FK a companies. Solo para logos y banners</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product_id</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integer</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FK a products. Solo para imágenes de catálogo</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order_item_id</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integer</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FK a order_items. Para referencias e imágenes IA</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transaction_id</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integer</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FK a transactions. Para facturas y recibos</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uploaded_by</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integer</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FK a users. Usuario que subió el archivo</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uploaded_at</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timestamptz</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0f6e56"/>
                <w:sz w:val="20"/>
                <w:szCs w:val="20"/>
              </w:rPr>
              <w:t xml:space="preserve">NO</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Fecha y hora de subida (default: now())</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updated_at</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timestamptz</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0f6e56"/>
                <w:sz w:val="20"/>
                <w:szCs w:val="20"/>
              </w:rPr>
              <w:t xml:space="preserve">NO</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Actualizado automáticamente por trigger en cada UPDATE</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is_active</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boolean</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0f6e56"/>
                <w:sz w:val="20"/>
                <w:szCs w:val="20"/>
              </w:rPr>
              <w:t xml:space="preserve">NO</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false = borrado lógico o versión superada. Default: true</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generation_prompt</w:t>
            </w:r>
          </w:p>
        </w:tc>
        <w:tc>
          <w:tcPr>
            <w:tcW w:type="dxa" w:w="16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text</w:t>
            </w:r>
          </w:p>
        </w:tc>
        <w:tc>
          <w:tcPr>
            <w:tcW w:type="dxa" w:w="1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ai_generated: prompt usado para generar la imagen</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generation_version</w:t>
            </w:r>
          </w:p>
        </w:tc>
        <w:tc>
          <w:tcPr>
            <w:tcW w:type="dxa" w:w="16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smallint</w:t>
            </w:r>
          </w:p>
        </w:tc>
        <w:tc>
          <w:tcPr>
            <w:tcW w:type="dxa" w:w="1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6b7280"/>
                <w:sz w:val="20"/>
                <w:szCs w:val="20"/>
              </w:rPr>
              <w:t xml:space="preserve">SÍ</w:t>
            </w:r>
          </w:p>
        </w:tc>
        <w:tc>
          <w:tcPr>
            <w:tcW w:type="dxa" w:w="4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ai_generated: número de versión (1, 2, 3…)</w:t>
            </w:r>
          </w:p>
        </w:tc>
      </w:tr>
    </w:tbl>
    <w:p>
      <w:pPr>
        <w:spacing w:before="100" w:after="0"/>
      </w:pPr>
      <w:r>
        <w:t xml:space="preserve"/>
      </w:r>
    </w:p>
    <w:p>
      <w:pPr>
        <w:pStyle w:val="Heading2"/>
        <w:spacing w:before="280" w:after="120"/>
      </w:pPr>
      <w:r>
        <w:rPr>
          <w:rFonts w:ascii="Arial" w:cs="Arial" w:eastAsia="Arial" w:hAnsi="Arial"/>
          <w:b/>
          <w:bCs/>
          <w:color w:val="1a1a2e"/>
          <w:sz w:val="28"/>
          <w:szCs w:val="28"/>
        </w:rPr>
        <w:t xml:space="preserve">3.2 Enum file_type_enum</w:t>
      </w:r>
    </w:p>
    <w:p>
      <w:pPr>
        <w:spacing w:before="60" w:after="60"/>
        <w:jc w:val="left"/>
      </w:pPr>
      <w:r>
        <w:rPr>
          <w:rFonts w:ascii="Arial" w:cs="Arial" w:eastAsia="Arial" w:hAnsi="Arial"/>
          <w:b w:val="false"/>
          <w:bCs w:val="false"/>
          <w:i w:val="false"/>
          <w:iCs w:val="false"/>
          <w:color w:val="1a1a2e"/>
          <w:sz w:val="22"/>
          <w:szCs w:val="22"/>
        </w:rPr>
        <w:t xml:space="preserve">En lugar de texto libre, el tipo de archivo usa un enum de PostgreSQL. El motor rechaza cualquier valor no listado sin depender de validaciones en el ORM o el frontend.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Valor</w:t>
            </w:r>
          </w:p>
        </w:tc>
        <w:tc>
          <w:tcPr>
            <w:tcW w:type="dxa" w:w="18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Bucket</w:t>
            </w:r>
          </w:p>
        </w:tc>
        <w:tc>
          <w:tcPr>
            <w:tcW w:type="dxa" w:w="476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Cuándo usarlo</w:t>
            </w:r>
          </w:p>
        </w:tc>
      </w:tr>
      <w:tr>
        <w:tc>
          <w:tcPr>
            <w:tcW w:type="dxa" w:w="2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product_main</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product-catalog</w:t>
            </w:r>
          </w:p>
        </w:tc>
        <w:tc>
          <w:tcPr>
            <w:tcW w:type="dxa" w:w="47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Imagen principal del producto. Máximo 1 activa por producto.</w:t>
            </w:r>
          </w:p>
        </w:tc>
      </w:tr>
      <w:tr>
        <w:tc>
          <w:tcPr>
            <w:tcW w:type="dxa" w:w="2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product_gallery</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product-catalog</w:t>
            </w:r>
          </w:p>
        </w:tc>
        <w:tc>
          <w:tcPr>
            <w:tcW w:type="dxa" w:w="47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Imágenes adicionales de galería. N por producto, con sort_order.</w:t>
            </w:r>
          </w:p>
        </w:tc>
      </w:tr>
      <w:tr>
        <w:tc>
          <w:tcPr>
            <w:tcW w:type="dxa" w:w="2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product_thumbnail</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product-catalog</w:t>
            </w:r>
          </w:p>
        </w:tc>
        <w:tc>
          <w:tcPr>
            <w:tcW w:type="dxa" w:w="47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Versión reducida para listados. Máximo 1 activa por producto.</w:t>
            </w:r>
          </w:p>
        </w:tc>
      </w:tr>
      <w:tr>
        <w:tc>
          <w:tcPr>
            <w:tcW w:type="dxa" w:w="2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company_logo</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company-assets</w:t>
            </w:r>
          </w:p>
        </w:tc>
        <w:tc>
          <w:tcPr>
            <w:tcW w:type="dxa" w:w="47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Logo oficial de la empresa.</w:t>
            </w:r>
          </w:p>
        </w:tc>
      </w:tr>
      <w:tr>
        <w:tc>
          <w:tcPr>
            <w:tcW w:type="dxa" w:w="2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company_banner</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company-assets</w:t>
            </w:r>
          </w:p>
        </w:tc>
        <w:tc>
          <w:tcPr>
            <w:tcW w:type="dxa" w:w="47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Banner o imagen de cabecera.</w:t>
            </w:r>
          </w:p>
        </w:tc>
      </w:tr>
      <w:tr>
        <w:tc>
          <w:tcPr>
            <w:tcW w:type="dxa" w:w="2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reference_image</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order-references</w:t>
            </w:r>
          </w:p>
        </w:tc>
        <w:tc>
          <w:tcPr>
            <w:tcW w:type="dxa" w:w="47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Imagen de referencia subida por el cliente al crear un pedido.</w:t>
            </w:r>
          </w:p>
        </w:tc>
      </w:tr>
      <w:tr>
        <w:tc>
          <w:tcPr>
            <w:tcW w:type="dxa" w:w="2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ai_generated</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ai-generated</w:t>
            </w:r>
          </w:p>
        </w:tc>
        <w:tc>
          <w:tcPr>
            <w:tcW w:type="dxa" w:w="47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Imagen generada por IA. Máximo 1 activa por order_item.</w:t>
            </w:r>
          </w:p>
        </w:tc>
      </w:tr>
      <w:tr>
        <w:tc>
          <w:tcPr>
            <w:tcW w:type="dxa" w:w="2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invoice</w:t>
            </w:r>
          </w:p>
        </w:tc>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documents</w:t>
            </w:r>
          </w:p>
        </w:tc>
        <w:tc>
          <w:tcPr>
            <w:tcW w:type="dxa" w:w="47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Factura en PDF vinculada a una transacción.</w:t>
            </w:r>
          </w:p>
        </w:tc>
      </w:tr>
      <w:tr>
        <w:tc>
          <w:tcPr>
            <w:tcW w:type="dxa" w:w="2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payment_receipt</w:t>
            </w:r>
          </w:p>
        </w:tc>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documents</w:t>
            </w:r>
          </w:p>
        </w:tc>
        <w:tc>
          <w:tcPr>
            <w:tcW w:type="dxa" w:w="47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Comprobante de pago en PDF o imagen.</w:t>
            </w:r>
          </w:p>
        </w:tc>
      </w:tr>
    </w:tbl>
    <w:p>
      <w:pPr>
        <w:spacing w:before="100" w:after="0"/>
      </w:pPr>
      <w:r>
        <w:t xml:space="preserve"/>
      </w:r>
    </w:p>
    <w:p>
      <w:pPr>
        <w:pStyle w:val="Heading2"/>
        <w:spacing w:before="280" w:after="120"/>
      </w:pPr>
      <w:r>
        <w:rPr>
          <w:rFonts w:ascii="Arial" w:cs="Arial" w:eastAsia="Arial" w:hAnsi="Arial"/>
          <w:b/>
          <w:bCs/>
          <w:color w:val="1a1a2e"/>
          <w:sz w:val="28"/>
          <w:szCs w:val="28"/>
        </w:rPr>
        <w:t xml:space="preserve">3.3 Constraints de integridad</w:t>
      </w:r>
    </w:p>
    <w:p>
      <w:pPr>
        <w:spacing w:before="60" w:after="60"/>
        <w:jc w:val="left"/>
      </w:pPr>
      <w:r>
        <w:rPr>
          <w:rFonts w:ascii="Arial" w:cs="Arial" w:eastAsia="Arial" w:hAnsi="Arial"/>
          <w:b w:val="false"/>
          <w:bCs w:val="false"/>
          <w:i w:val="false"/>
          <w:iCs w:val="false"/>
          <w:color w:val="1a1a2e"/>
          <w:sz w:val="22"/>
          <w:szCs w:val="22"/>
        </w:rPr>
        <w:t xml:space="preserve">La tabla tiene 10 constraints que se evalúan en el motor de PostgreSQL. Ninguna validación en el ORM o el frontend puede reemplazarlos.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Constraint</w:t>
            </w:r>
          </w:p>
        </w:tc>
        <w:tc>
          <w:tcPr>
            <w:tcW w:type="dxa" w:w="596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Qué garantiza</w:t>
            </w:r>
          </w:p>
        </w:tc>
      </w:tr>
      <w:tr>
        <w:tc>
          <w:tcPr>
            <w:tcW w:type="dxa" w:w="3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uq_file_assets_storage_location</w:t>
            </w:r>
          </w:p>
        </w:tc>
        <w:tc>
          <w:tcPr>
            <w:tcW w:type="dxa" w:w="59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No pueden existir dos registros apuntando al mismo archivo físico (bucket + path únicos).</w:t>
            </w:r>
          </w:p>
        </w:tc>
      </w:tr>
      <w:tr>
        <w:tc>
          <w:tcPr>
            <w:tcW w:type="dxa" w:w="3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uq_one_main_per_product</w:t>
            </w:r>
          </w:p>
        </w:tc>
        <w:tc>
          <w:tcPr>
            <w:tcW w:type="dxa" w:w="59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puede haber una imagen product_main activa por producto al mismo tiempo.</w:t>
            </w:r>
          </w:p>
        </w:tc>
      </w:tr>
      <w:tr>
        <w:tc>
          <w:tcPr>
            <w:tcW w:type="dxa" w:w="3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uq_one_thumbnail_per_product</w:t>
            </w:r>
          </w:p>
        </w:tc>
        <w:tc>
          <w:tcPr>
            <w:tcW w:type="dxa" w:w="59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puede haber un product_thumbnail activo por producto al mismo tiempo.</w:t>
            </w:r>
          </w:p>
        </w:tc>
      </w:tr>
      <w:tr>
        <w:tc>
          <w:tcPr>
            <w:tcW w:type="dxa" w:w="3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uq_one_active_ai_per_order_item</w:t>
            </w:r>
          </w:p>
        </w:tc>
        <w:tc>
          <w:tcPr>
            <w:tcW w:type="dxa" w:w="59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puede haber un ai_generated activo por order_item. Las versiones anteriores se marcan is_active=false.</w:t>
            </w:r>
          </w:p>
        </w:tc>
      </w:tr>
      <w:tr>
        <w:tc>
          <w:tcPr>
            <w:tcW w:type="dxa" w:w="3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ck_single_owner</w:t>
            </w:r>
          </w:p>
        </w:tc>
        <w:tc>
          <w:tcPr>
            <w:tcW w:type="dxa" w:w="59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Exactamente una FK de entidad propietaria es no-null por fila (company, product, order_item o transaction).</w:t>
            </w:r>
          </w:p>
        </w:tc>
      </w:tr>
      <w:tr>
        <w:tc>
          <w:tcPr>
            <w:tcW w:type="dxa" w:w="3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ck_ai_fields_only_for_ai_type</w:t>
            </w:r>
          </w:p>
        </w:tc>
        <w:tc>
          <w:tcPr>
            <w:tcW w:type="dxa" w:w="59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generation_prompt y generation_version solo pueden tener valor cuando file_type = ai_generated.</w:t>
            </w:r>
          </w:p>
        </w:tc>
      </w:tr>
      <w:tr>
        <w:tc>
          <w:tcPr>
            <w:tcW w:type="dxa" w:w="3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ck_sort_order_only_for_gallery</w:t>
            </w:r>
          </w:p>
        </w:tc>
        <w:tc>
          <w:tcPr>
            <w:tcW w:type="dxa" w:w="59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sort_order solo puede tener valor cuando file_type = product_gallery.</w:t>
            </w:r>
          </w:p>
        </w:tc>
      </w:tr>
      <w:tr>
        <w:tc>
          <w:tcPr>
            <w:tcW w:type="dxa" w:w="3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ck_company_types_need_company_id</w:t>
            </w:r>
          </w:p>
        </w:tc>
        <w:tc>
          <w:tcPr>
            <w:tcW w:type="dxa" w:w="59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company_logo y company_banner requieren company_id no-null.</w:t>
            </w:r>
          </w:p>
        </w:tc>
      </w:tr>
      <w:tr>
        <w:tc>
          <w:tcPr>
            <w:tcW w:type="dxa" w:w="3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ck_order_types_need_order_item_id</w:t>
            </w:r>
          </w:p>
        </w:tc>
        <w:tc>
          <w:tcPr>
            <w:tcW w:type="dxa" w:w="59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reference_image y ai_generated requieren order_item_id no-null.</w:t>
            </w:r>
          </w:p>
        </w:tc>
      </w:tr>
      <w:tr>
        <w:tc>
          <w:tcPr>
            <w:tcW w:type="dxa" w:w="3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ck_document_types_need_transaction_id</w:t>
            </w:r>
          </w:p>
        </w:tc>
        <w:tc>
          <w:tcPr>
            <w:tcW w:type="dxa" w:w="59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invoice y payment_receipt requieren transaction_id no-null.</w:t>
            </w:r>
          </w:p>
        </w:tc>
      </w:tr>
    </w:tbl>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4. Seguridad — RLS Policies (Script 03)</w:t>
      </w:r>
    </w:p>
    <w:p>
      <w:pPr>
        <w:spacing w:before="60" w:after="60"/>
        <w:jc w:val="left"/>
      </w:pPr>
      <w:r>
        <w:rPr>
          <w:rFonts w:ascii="Arial" w:cs="Arial" w:eastAsia="Arial" w:hAnsi="Arial"/>
          <w:b w:val="false"/>
          <w:bCs w:val="false"/>
          <w:i w:val="false"/>
          <w:iCs w:val="false"/>
          <w:color w:val="1a1a2e"/>
          <w:sz w:val="22"/>
          <w:szCs w:val="22"/>
        </w:rPr>
        <w:t xml:space="preserve">Row Level Security (RLS) es el mecanismo de Supabase que evalúa permisos fila por fila directamente en el motor de PostgreSQL, antes de devolver cualquier resultado. Es la capa de seguridad más robusta porque no puede ser evadida desde el frontend.</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4.1 Función helper get_my_company_id()</w:t>
      </w:r>
    </w:p>
    <w:p>
      <w:pPr>
        <w:spacing w:before="60" w:after="60"/>
        <w:jc w:val="left"/>
      </w:pPr>
      <w:r>
        <w:rPr>
          <w:rFonts w:ascii="Arial" w:cs="Arial" w:eastAsia="Arial" w:hAnsi="Arial"/>
          <w:b w:val="false"/>
          <w:bCs w:val="false"/>
          <w:i w:val="false"/>
          <w:iCs w:val="false"/>
          <w:color w:val="1a1a2e"/>
          <w:sz w:val="22"/>
          <w:szCs w:val="22"/>
        </w:rPr>
        <w:t xml:space="preserve">Antes de las policies, el script crea esta función que resuelve el company_id del usuario autenticado. Todas las policies la invocan en lugar de repetir la misma subquery, lo que centraliza el aislamiento multi-tenant en un solo punto.</w:t>
      </w:r>
    </w:p>
    <w:p>
      <w:pPr>
        <w:spacing w:before="40" w:after="0"/>
      </w:pPr>
      <w:r>
        <w:t xml:space="preserve"/>
      </w:r>
    </w:p>
    <w:p>
      <w:pPr>
        <w:pBdr>
          <w:top w:val="single" w:color="c8d8e8" w:sz="4"/>
          <w:left w:val="single" w:color="0f6e56" w:sz="12"/>
        </w:pBdr>
        <w:shd w:fill="f1f5f9" w:val="clear"/>
        <w:spacing w:before="80" w:after="0"/>
        <w:ind w:left="360"/>
      </w:pPr>
      <w:r>
        <w:rPr>
          <w:rFonts w:ascii="Courier New" w:cs="Courier New" w:eastAsia="Courier New" w:hAnsi="Courier New"/>
          <w:color w:val="1e3a5f"/>
          <w:sz w:val="18"/>
          <w:szCs w:val="18"/>
        </w:rPr>
        <w:t xml:space="preserve">CREATE OR REPLACE FUNCTION public.get_my_company_id()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RETURNS integer LANGUAGE sql STABLE SECURITY DEFINER</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SET search_path = ''</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AS $$</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SELECT company_id FROM public.users</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WHERE supabase_id = auth.uid()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LIMIT 1;</w:t>
      </w:r>
    </w:p>
    <w:p>
      <w:pPr>
        <w:pBdr>
          <w:bottom w:val="single" w:color="c8d8e8" w:sz="4"/>
          <w:left w:val="single" w:color="0f6e56" w:sz="12"/>
        </w:pBdr>
        <w:shd w:fill="f1f5f9" w:val="clear"/>
        <w:spacing w:before="0" w:after="80"/>
        <w:ind w:left="360"/>
      </w:pPr>
      <w:r>
        <w:rPr>
          <w:rFonts w:ascii="Courier New" w:cs="Courier New" w:eastAsia="Courier New" w:hAnsi="Courier New"/>
          <w:color w:val="1e3a5f"/>
          <w:sz w:val="18"/>
          <w:szCs w:val="18"/>
        </w:rPr>
        <w:t xml:space="preserve">$$;</w:t>
      </w:r>
    </w:p>
    <w:p>
      <w:pPr>
        <w:spacing w:before="60" w:after="0"/>
      </w:pPr>
      <w:r>
        <w:t xml:space="preserve"/>
      </w:r>
    </w:p>
    <w:p>
      <w:pPr>
        <w:spacing w:before="60" w:after="60"/>
        <w:jc w:val="left"/>
      </w:pPr>
      <w:r>
        <w:rPr>
          <w:rFonts w:ascii="Arial" w:cs="Arial" w:eastAsia="Arial" w:hAnsi="Arial"/>
          <w:b w:val="false"/>
          <w:bCs w:val="false"/>
          <w:i w:val="false"/>
          <w:iCs w:val="false"/>
          <w:color w:val="1a1a2e"/>
          <w:sz w:val="22"/>
          <w:szCs w:val="22"/>
        </w:rPr>
        <w:t xml:space="preserve">Esta función usa SECURITY DEFINER para poder leer public.users con permisos del sistema, STABLE para que PostgreSQL pueda cachear el resultado dentro de una transacción, y SET search_path = '' para prevenir ataques de path hijacking.</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4.2 Resumen de policies por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3360"/>
      </w:tblGrid>
      <w:tr>
        <w:tc>
          <w:tcPr>
            <w:tcW w:type="dxa" w:w="24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Bucket</w:t>
            </w:r>
          </w:p>
        </w:tc>
        <w:tc>
          <w:tcPr>
            <w:tcW w:type="dxa" w:w="9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SELECT</w:t>
            </w:r>
          </w:p>
        </w:tc>
        <w:tc>
          <w:tcPr>
            <w:tcW w:type="dxa" w:w="9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INSERT</w:t>
            </w:r>
          </w:p>
        </w:tc>
        <w:tc>
          <w:tcPr>
            <w:tcW w:type="dxa" w:w="9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UPDATE</w:t>
            </w:r>
          </w:p>
        </w:tc>
        <w:tc>
          <w:tcPr>
            <w:tcW w:type="dxa" w:w="9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DELETE</w:t>
            </w:r>
          </w:p>
        </w:tc>
        <w:tc>
          <w:tcPr>
            <w:tcW w:type="dxa" w:w="336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Lógica de acceso</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product-catalog</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Todos</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33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Lectura pública. Escritura solo si path[1] = company_id del usuario.</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company-assets</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33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usuarios de la misma empresa pueden leer y escribir.</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order-references</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Dueño</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Dueño</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Dueño</w:t>
            </w:r>
          </w:p>
        </w:tc>
        <w:tc>
          <w:tcPr>
            <w:tcW w:type="dxa" w:w="33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Lectura con doble candado: company_id + order_item del usuario.</w:t>
            </w:r>
          </w:p>
        </w:tc>
      </w:tr>
      <w:tr>
        <w:tc>
          <w:tcPr>
            <w:tcW w:type="dxa" w:w="24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ai-generated</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Dueño</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c0392b"/>
                <w:sz w:val="20"/>
                <w:szCs w:val="20"/>
              </w:rPr>
              <w:t xml:space="preserve">✗ Nadie</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c0392b"/>
                <w:sz w:val="20"/>
                <w:szCs w:val="20"/>
              </w:rPr>
              <w:t xml:space="preserve">✗ Nadie</w:t>
            </w:r>
          </w:p>
        </w:tc>
        <w:tc>
          <w:tcPr>
            <w:tcW w:type="dxa" w:w="9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c0392b"/>
                <w:sz w:val="20"/>
                <w:szCs w:val="20"/>
              </w:rPr>
              <w:t xml:space="preserve">✗ Nadie</w:t>
            </w:r>
          </w:p>
        </w:tc>
        <w:tc>
          <w:tcPr>
            <w:tcW w:type="dxa" w:w="33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Solo lectura para el dueño del pedido. Solo backend (service_role) puede escribir.</w:t>
            </w:r>
          </w:p>
        </w:tc>
      </w:tr>
      <w:tr>
        <w:tc>
          <w:tcPr>
            <w:tcW w:type="dxa" w:w="24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documents</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Empresa</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c0392b"/>
                <w:sz w:val="20"/>
                <w:szCs w:val="20"/>
              </w:rPr>
              <w:t xml:space="preserve">✗ Nadie</w:t>
            </w:r>
          </w:p>
        </w:tc>
        <w:tc>
          <w:tcPr>
            <w:tcW w:type="dxa" w:w="9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c0392b"/>
                <w:sz w:val="20"/>
                <w:szCs w:val="20"/>
              </w:rPr>
              <w:t xml:space="preserve">✗ Nadie</w:t>
            </w:r>
          </w:p>
        </w:tc>
        <w:tc>
          <w:tcPr>
            <w:tcW w:type="dxa" w:w="33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Lectura por empresa. INSERT como fallback admin. Backend usa service_role.</w:t>
            </w:r>
          </w:p>
        </w:tc>
      </w:tr>
    </w:tbl>
    <w:p>
      <w:pPr>
        <w:spacing w:before="100" w:after="0"/>
      </w:pPr>
      <w:r>
        <w:t xml:space="preserve"/>
      </w:r>
    </w:p>
    <w:p>
      <w:pPr>
        <w:pStyle w:val="Heading2"/>
        <w:spacing w:before="280" w:after="120"/>
      </w:pPr>
      <w:r>
        <w:rPr>
          <w:rFonts w:ascii="Arial" w:cs="Arial" w:eastAsia="Arial" w:hAnsi="Arial"/>
          <w:b/>
          <w:bCs/>
          <w:color w:val="1a1a2e"/>
          <w:sz w:val="28"/>
          <w:szCs w:val="28"/>
        </w:rPr>
        <w:t xml:space="preserve">4.3 El doble candado en order-references y ai-generated</w:t>
      </w:r>
    </w:p>
    <w:p>
      <w:pPr>
        <w:spacing w:before="60" w:after="60"/>
        <w:jc w:val="left"/>
      </w:pPr>
      <w:r>
        <w:rPr>
          <w:rFonts w:ascii="Arial" w:cs="Arial" w:eastAsia="Arial" w:hAnsi="Arial"/>
          <w:b w:val="false"/>
          <w:bCs w:val="false"/>
          <w:i w:val="false"/>
          <w:iCs w:val="false"/>
          <w:color w:val="1a1a2e"/>
          <w:sz w:val="22"/>
          <w:szCs w:val="22"/>
        </w:rPr>
        <w:t xml:space="preserve">Para los buckets de pedidos, la policy de SELECT aplica dos condiciones simultáneas que deben cumplirse:</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Condición A (multi-tenant): el primer segmento del path debe coincidir con el company_id del usuario autenticado. Esto garantiza que empresa A nunca accede a archivos de empresa B.</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Condición B (privacidad interna): el order_item_id en el tercer segmento del path debe pertenecer a un pedido asignado al usuario autenticado. Esto garantiza que dos empleados de la misma empresa no pueden ver los pedidos del otro.</w:t>
      </w:r>
    </w:p>
    <w:p>
      <w:pPr>
        <w:spacing w:before="60" w:after="0"/>
      </w:pPr>
      <w:r>
        <w:t xml:space="preserve"/>
      </w:r>
    </w:p>
    <w:p>
      <w:pPr>
        <w:pBdr>
          <w:top w:val="single" w:color="c8d8e8" w:sz="4"/>
          <w:left w:val="single" w:color="0f6e56" w:sz="12"/>
        </w:pBdr>
        <w:shd w:fill="f1f5f9" w:val="clear"/>
        <w:spacing w:before="80" w:after="0"/>
        <w:ind w:left="360"/>
      </w:pPr>
      <w:r>
        <w:rPr>
          <w:rFonts w:ascii="Courier New" w:cs="Courier New" w:eastAsia="Courier New" w:hAnsi="Courier New"/>
          <w:color w:val="1e3a5f"/>
          <w:sz w:val="18"/>
          <w:szCs w:val="18"/>
        </w:rPr>
        <w:t xml:space="preserve">-- Ejemplo simplificado del doble candado:</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USING (</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bucket_id = 'order-references'</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AND (storage.foldername(name))[1] = get_my_company_id()::text  -- Condición A</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AND EXISTS (                                                     -- Condición B</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SELECT 1 FROM order_items oi</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JOIN orders o ON o.id = oi.order_id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JOIN users  u ON u.id = o.user_id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WHERE oi.id::text = (storage.foldername(name))[3]</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AND u.supabase_id = auth.uid()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t>
      </w:r>
    </w:p>
    <w:p>
      <w:pPr>
        <w:pBdr>
          <w:bottom w:val="single" w:color="c8d8e8" w:sz="4"/>
          <w:left w:val="single" w:color="0f6e56" w:sz="12"/>
        </w:pBdr>
        <w:shd w:fill="f1f5f9" w:val="clear"/>
        <w:spacing w:before="0" w:after="80"/>
        <w:ind w:left="360"/>
      </w:pPr>
      <w:r>
        <w:rPr>
          <w:rFonts w:ascii="Courier New" w:cs="Courier New" w:eastAsia="Courier New" w:hAnsi="Courier New"/>
          <w:color w:val="1e3a5f"/>
          <w:sz w:val="18"/>
          <w:szCs w:val="18"/>
        </w:rPr>
        <w:t xml:space="preserve">)</w:t>
      </w:r>
    </w:p>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5. Flujos de subida de archivos</w:t>
      </w:r>
    </w:p>
    <w:p>
      <w:pPr>
        <w:spacing w:before="60" w:after="60"/>
        <w:jc w:val="left"/>
      </w:pPr>
      <w:r>
        <w:rPr>
          <w:rFonts w:ascii="Arial" w:cs="Arial" w:eastAsia="Arial" w:hAnsi="Arial"/>
          <w:b w:val="false"/>
          <w:bCs w:val="false"/>
          <w:i w:val="false"/>
          <w:iCs w:val="false"/>
          <w:color w:val="1a1a2e"/>
          <w:sz w:val="22"/>
          <w:szCs w:val="22"/>
        </w:rPr>
        <w:t xml:space="preserve">Existen dos caminos distintos para subir archivos según el bucket de destino. Nunca deben mezclarse.</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5.1 Path A — Subida directa desde el browser (cliente)</w:t>
      </w:r>
    </w:p>
    <w:p>
      <w:pPr>
        <w:spacing w:before="60" w:after="60"/>
        <w:jc w:val="left"/>
      </w:pPr>
      <w:r>
        <w:rPr>
          <w:rFonts w:ascii="Arial" w:cs="Arial" w:eastAsia="Arial" w:hAnsi="Arial"/>
          <w:b w:val="false"/>
          <w:bCs w:val="false"/>
          <w:i w:val="false"/>
          <w:iCs w:val="false"/>
          <w:color w:val="1a1a2e"/>
          <w:sz w:val="22"/>
          <w:szCs w:val="22"/>
        </w:rPr>
        <w:t xml:space="preserve">Para imágenes de referencia de pedidos y assets de productos/empresa. El cliente sube directamente a Supabase Storage usando el cliente JS de Supabase. La RLS policy valida los permisos en tiempo real.</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Buckets: order-references, product-catalog, company-assets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Autenticación: token JWT del usuario en sesión (anon key o service key del cliente)</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Validación: RLS policy evalúa que el path pertenece al company_id del usuario</w:t>
      </w:r>
    </w:p>
    <w:p>
      <w:pPr>
        <w:spacing w:before="60" w:after="0"/>
      </w:pPr>
      <w:r>
        <w:t xml:space="preserve"/>
      </w:r>
    </w:p>
    <w:p>
      <w:pPr>
        <w:pBdr>
          <w:top w:val="single" w:color="c8d8e8" w:sz="4"/>
          <w:left w:val="single" w:color="0f6e56" w:sz="12"/>
        </w:pBdr>
        <w:shd w:fill="f1f5f9" w:val="clear"/>
        <w:spacing w:before="80" w:after="0"/>
        <w:ind w:left="360"/>
      </w:pPr>
      <w:r>
        <w:rPr>
          <w:rFonts w:ascii="Courier New" w:cs="Courier New" w:eastAsia="Courier New" w:hAnsi="Courier New"/>
          <w:color w:val="1e3a5f"/>
          <w:sz w:val="18"/>
          <w:szCs w:val="18"/>
        </w:rPr>
        <w:t xml:space="preserve">// Ejemplo en Next.js — subida de imagen de referencia</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const supabase = createClientComponentClient()</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const storagePath = `${companyId}/${orderId}/${orderItemId}/ref-${Date.now()}.webp`</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1. Subir el archivo</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const { error } = await supabase.storage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.from('order-references')</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.upload(storagePath, file, { contentType: file.type, upsert: false })</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2. Registrar en file_assets (fuente de verdad)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await supabase.from('file_assets').insert({</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bucket_name:   'order-references',</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storage_path:  storagePath,</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file_type:     'reference_image',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mime_type:     file.type,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size_bytes:    file.size,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order_item_id: orderItemId,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company_id:    companyId,</w:t>
      </w:r>
    </w:p>
    <w:p>
      <w:pPr>
        <w:pBdr>
          <w:bottom w:val="single" w:color="c8d8e8" w:sz="4"/>
          <w:left w:val="single" w:color="0f6e56" w:sz="12"/>
        </w:pBdr>
        <w:shd w:fill="f1f5f9" w:val="clear"/>
        <w:spacing w:before="0" w:after="80"/>
        <w:ind w:left="360"/>
      </w:pPr>
      <w:r>
        <w:rPr>
          <w:rFonts w:ascii="Courier New" w:cs="Courier New" w:eastAsia="Courier New" w:hAnsi="Courier New"/>
          <w:color w:val="1e3a5f"/>
          <w:sz w:val="18"/>
          <w:szCs w:val="18"/>
        </w:rPr>
        <w:t xml:space="preserve">})</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5.2 Path B — Subida desde el servidor (backend/service_role)</w:t>
      </w:r>
    </w:p>
    <w:p>
      <w:pPr>
        <w:spacing w:before="60" w:after="60"/>
        <w:jc w:val="left"/>
      </w:pPr>
      <w:r>
        <w:rPr>
          <w:rFonts w:ascii="Arial" w:cs="Arial" w:eastAsia="Arial" w:hAnsi="Arial"/>
          <w:b w:val="false"/>
          <w:bCs w:val="false"/>
          <w:i w:val="false"/>
          <w:iCs w:val="false"/>
          <w:color w:val="1a1a2e"/>
          <w:sz w:val="22"/>
          <w:szCs w:val="22"/>
        </w:rPr>
        <w:t xml:space="preserve">Para imágenes IA y documentos. El backend usa la service_role key que bypasea completamente las RLS policies. Esta key NUNCA debe estar en el frontend ni en variables de entorno con prefijo NEXT_PUBLIC_.</w:t>
      </w:r>
    </w:p>
    <w:p>
      <w:pPr>
        <w:spacing w:before="4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Buckets: ai-generated, documents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Autenticación: SUPABASE_SERVICE_ROLE_KEY (solo en servidor, nunca en browser)</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Uso: API Routes de Next.js (app/api/) o Server Actions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6"/>
              <w:left w:val="single" w:color="f0ad4e" w:sz="18"/>
              <w:bottom w:val="single" w:color="f0ad4e" w:sz="6"/>
              <w:right w:val="single" w:color="f0ad4e" w:sz="6"/>
            </w:tcBorders>
            <w:shd w:fill="fff3cd"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1a1a2e"/>
                <w:sz w:val="22"/>
                <w:szCs w:val="22"/>
              </w:rPr>
              <w:t xml:space="preserve">⚠  </w:t>
            </w:r>
            <w:r>
              <w:rPr>
                <w:rFonts w:ascii="Arial" w:cs="Arial" w:eastAsia="Arial" w:hAnsi="Arial"/>
                <w:b w:val="false"/>
                <w:bCs w:val="false"/>
                <w:i w:val="false"/>
                <w:iCs w:val="false"/>
                <w:color w:val="1a1a2e"/>
                <w:sz w:val="22"/>
                <w:szCs w:val="22"/>
              </w:rPr>
              <w:t xml:space="preserve">CRÍTICO: La variable SUPABASE_SERVICE_ROLE_KEY nunca debe tener el prefijo NEXT_PUBLIC_. Si la expones al cliente, cualquier usuario puede bypassear todas las RLS policies y leer/escribir cualquier archivo del sistema.</w:t>
            </w:r>
          </w:p>
        </w:tc>
      </w:tr>
    </w:tbl>
    <w:p>
      <w:pPr>
        <w:spacing w:before="60" w:after="0"/>
      </w:pPr>
      <w:r>
        <w:t xml:space="preserve"/>
      </w:r>
    </w:p>
    <w:p>
      <w:pPr>
        <w:pBdr>
          <w:top w:val="single" w:color="c8d8e8" w:sz="4"/>
          <w:left w:val="single" w:color="0f6e56" w:sz="12"/>
        </w:pBdr>
        <w:shd w:fill="f1f5f9" w:val="clear"/>
        <w:spacing w:before="80" w:after="0"/>
        <w:ind w:left="360"/>
      </w:pPr>
      <w:r>
        <w:rPr>
          <w:rFonts w:ascii="Courier New" w:cs="Courier New" w:eastAsia="Courier New" w:hAnsi="Courier New"/>
          <w:color w:val="1e3a5f"/>
          <w:sz w:val="18"/>
          <w:szCs w:val="18"/>
        </w:rPr>
        <w:t xml:space="preserve">// Solo en server-side (API Route o Server Action)</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const supabaseAdmin = createClient(</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process.env.NEXT_PUBLIC_SUPABASE_URL,</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process.env.SUPABASE_SERVICE_ROLE_KEY  // Sin NEXT_PUBLIC_</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Marcar versión anterior como inactiva</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await supabaseAdmin.from('file_assets')</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.update({ is_active: false })</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.eq('order_item_id', orderItemId)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.eq('file_type', 'ai_generated')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Subir nueva versión (bypasea RLS con service_role)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await supabaseAdmin.storage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.from('ai-generated')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.upload(storagePath, buffer, { contentType: 'image/webp' })</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Registrar nueva versión en file_assets</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await supabaseAdmin.from('file_assets').insert({</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bucket_name:        'ai-generated',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storage_path:       storagePath,</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file_type:          'ai_generated',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order_item_id:      orderItemId,</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generation_prompt:  prompt,</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generation_version: version,</w:t>
      </w:r>
    </w:p>
    <w:p>
      <w:pPr>
        <w:pBdr>
          <w:bottom w:val="single" w:color="c8d8e8" w:sz="4"/>
          <w:left w:val="single" w:color="0f6e56" w:sz="12"/>
        </w:pBdr>
        <w:shd w:fill="f1f5f9" w:val="clear"/>
        <w:spacing w:before="0" w:after="80"/>
        <w:ind w:left="360"/>
      </w:pPr>
      <w:r>
        <w:rPr>
          <w:rFonts w:ascii="Courier New" w:cs="Courier New" w:eastAsia="Courier New" w:hAnsi="Courier New"/>
          <w:color w:val="1e3a5f"/>
          <w:sz w:val="18"/>
          <w:szCs w:val="18"/>
        </w:rPr>
        <w:t xml:space="preserve">})</w:t>
      </w:r>
    </w:p>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6. Cómo obtener URLs de archivos</w:t>
      </w:r>
    </w:p>
    <w:p>
      <w:pPr>
        <w:spacing w:before="60" w:after="60"/>
        <w:jc w:val="left"/>
      </w:pPr>
      <w:r>
        <w:rPr>
          <w:rFonts w:ascii="Arial" w:cs="Arial" w:eastAsia="Arial" w:hAnsi="Arial"/>
          <w:b w:val="false"/>
          <w:bCs w:val="false"/>
          <w:i w:val="false"/>
          <w:iCs w:val="false"/>
          <w:color w:val="1a1a2e"/>
          <w:sz w:val="22"/>
          <w:szCs w:val="22"/>
        </w:rPr>
        <w:t xml:space="preserve">Existen dos formas de obtener la URL de un archivo según el tipo de bucket.</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6.1 URL pública (solo product-catalog)</w:t>
      </w:r>
    </w:p>
    <w:p>
      <w:pPr>
        <w:spacing w:before="60" w:after="60"/>
        <w:jc w:val="left"/>
      </w:pPr>
      <w:r>
        <w:rPr>
          <w:rFonts w:ascii="Arial" w:cs="Arial" w:eastAsia="Arial" w:hAnsi="Arial"/>
          <w:b w:val="false"/>
          <w:bCs w:val="false"/>
          <w:i w:val="false"/>
          <w:iCs w:val="false"/>
          <w:color w:val="1a1a2e"/>
          <w:sz w:val="22"/>
          <w:szCs w:val="22"/>
        </w:rPr>
        <w:t xml:space="preserve">Los archivos en product-catalog tienen una URL directa y permanente. No expira, es apta para CDN y se puede usar directamente en etiquetas &lt;img&gt;.</w:t>
      </w:r>
    </w:p>
    <w:p>
      <w:pPr>
        <w:spacing w:before="40" w:after="0"/>
      </w:pPr>
      <w:r>
        <w:t xml:space="preserve"/>
      </w:r>
    </w:p>
    <w:p>
      <w:pPr>
        <w:pBdr>
          <w:top w:val="single" w:color="c8d8e8" w:sz="4"/>
          <w:left w:val="single" w:color="0f6e56" w:sz="12"/>
        </w:pBdr>
        <w:shd w:fill="f1f5f9" w:val="clear"/>
        <w:spacing w:before="80" w:after="0"/>
        <w:ind w:left="360"/>
      </w:pPr>
      <w:r>
        <w:rPr>
          <w:rFonts w:ascii="Courier New" w:cs="Courier New" w:eastAsia="Courier New" w:hAnsi="Courier New"/>
          <w:color w:val="1e3a5f"/>
          <w:sz w:val="18"/>
          <w:szCs w:val="18"/>
        </w:rPr>
        <w:t xml:space="preserve">// URL pública directa — no expira</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const { data } = supabase.storage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.from('product-catalog')</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.getPublicUrl(storagePath)</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return data.publicUrl</w:t>
      </w:r>
    </w:p>
    <w:p>
      <w:pPr>
        <w:pBdr>
          <w:bottom w:val="single" w:color="c8d8e8" w:sz="4"/>
          <w:left w:val="single" w:color="0f6e56" w:sz="12"/>
        </w:pBdr>
        <w:shd w:fill="f1f5f9" w:val="clear"/>
        <w:spacing w:before="0" w:after="80"/>
        <w:ind w:left="360"/>
      </w:pPr>
      <w:r>
        <w:rPr>
          <w:rFonts w:ascii="Courier New" w:cs="Courier New" w:eastAsia="Courier New" w:hAnsi="Courier New"/>
          <w:color w:val="1e3a5f"/>
          <w:sz w:val="18"/>
          <w:szCs w:val="18"/>
        </w:rPr>
        <w:t xml:space="preserve">// → https://{project}.supabase.co/storage/v1/object/public/product-catalog/42/187/main.webp</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6.2 Signed URL (todos los buckets privados)</w:t>
      </w:r>
    </w:p>
    <w:p>
      <w:pPr>
        <w:spacing w:before="60" w:after="60"/>
        <w:jc w:val="left"/>
      </w:pPr>
      <w:r>
        <w:rPr>
          <w:rFonts w:ascii="Arial" w:cs="Arial" w:eastAsia="Arial" w:hAnsi="Arial"/>
          <w:b w:val="false"/>
          <w:bCs w:val="false"/>
          <w:i w:val="false"/>
          <w:iCs w:val="false"/>
          <w:color w:val="1a1a2e"/>
          <w:sz w:val="22"/>
          <w:szCs w:val="22"/>
        </w:rPr>
        <w:t xml:space="preserve">Los archivos en buckets privados requieren una Signed URL con tiempo de expiración. La RLS policy valida que el usuario tiene permisos antes de generar la URL.</w:t>
      </w:r>
    </w:p>
    <w:p>
      <w:pPr>
        <w:spacing w:before="40" w:after="0"/>
      </w:pPr>
      <w:r>
        <w:t xml:space="preserve"/>
      </w:r>
    </w:p>
    <w:p>
      <w:pPr>
        <w:pBdr>
          <w:top w:val="single" w:color="c8d8e8" w:sz="4"/>
          <w:left w:val="single" w:color="0f6e56" w:sz="12"/>
        </w:pBdr>
        <w:shd w:fill="f1f5f9" w:val="clear"/>
        <w:spacing w:before="80" w:after="0"/>
        <w:ind w:left="360"/>
      </w:pPr>
      <w:r>
        <w:rPr>
          <w:rFonts w:ascii="Courier New" w:cs="Courier New" w:eastAsia="Courier New" w:hAnsi="Courier New"/>
          <w:color w:val="1e3a5f"/>
          <w:sz w:val="18"/>
          <w:szCs w:val="18"/>
        </w:rPr>
        <w:t xml:space="preserve">// Signed URL — expira en 1 hora (3600 segundos)</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const { data, error } = await supabase.storage</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.from('order-references')  // o 'ai-generated', 'documents', etc.</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.createSignedUrl(storagePath, 3600)</w:t>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
      </w:r>
    </w:p>
    <w:p>
      <w:pPr>
        <w:pBdr>
          <w:top w:val="none" w:sz="0" w:space="0" w:color="auto"/>
          <w:left w:val="single" w:color="0f6e56" w:sz="12"/>
        </w:pBdr>
        <w:shd w:fill="f1f5f9" w:val="clear"/>
        <w:spacing w:before="0" w:after="0"/>
        <w:ind w:left="360"/>
      </w:pPr>
      <w:r>
        <w:rPr>
          <w:rFonts w:ascii="Courier New" w:cs="Courier New" w:eastAsia="Courier New" w:hAnsi="Courier New"/>
          <w:color w:val="1e3a5f"/>
          <w:sz w:val="18"/>
          <w:szCs w:val="18"/>
        </w:rPr>
        <w:t xml:space="preserve">return data.signedUrl</w:t>
      </w:r>
    </w:p>
    <w:p>
      <w:pPr>
        <w:pBdr>
          <w:bottom w:val="single" w:color="c8d8e8" w:sz="4"/>
          <w:left w:val="single" w:color="0f6e56" w:sz="12"/>
        </w:pBdr>
        <w:shd w:fill="f1f5f9" w:val="clear"/>
        <w:spacing w:before="0" w:after="80"/>
        <w:ind w:left="360"/>
      </w:pPr>
      <w:r>
        <w:rPr>
          <w:rFonts w:ascii="Courier New" w:cs="Courier New" w:eastAsia="Courier New" w:hAnsi="Courier New"/>
          <w:color w:val="1e3a5f"/>
          <w:sz w:val="18"/>
          <w:szCs w:val="18"/>
        </w:rPr>
        <w:t xml:space="preserve">// → URL temporal válida por 1 hora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6"/>
              <w:left w:val="single" w:color="f0ad4e" w:sz="18"/>
              <w:bottom w:val="single" w:color="f0ad4e" w:sz="6"/>
              <w:right w:val="single" w:color="f0ad4e" w:sz="6"/>
            </w:tcBorders>
            <w:shd w:fill="fff3cd"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1a1a2e"/>
                <w:sz w:val="22"/>
                <w:szCs w:val="22"/>
              </w:rPr>
              <w:t xml:space="preserve">⚠  </w:t>
            </w:r>
            <w:r>
              <w:rPr>
                <w:rFonts w:ascii="Arial" w:cs="Arial" w:eastAsia="Arial" w:hAnsi="Arial"/>
                <w:b w:val="false"/>
                <w:bCs w:val="false"/>
                <w:i w:val="false"/>
                <w:iCs w:val="false"/>
                <w:color w:val="1a1a2e"/>
                <w:sz w:val="22"/>
                <w:szCs w:val="22"/>
              </w:rPr>
              <w:t xml:space="preserve">Las Signed URLs no deben guardarse en base de datos. Generarlas en tiempo real cuando el usuario las necesita. Para listas largas de archivos, generarlas en lote con createSignedUrls() (plural).</w:t>
            </w:r>
          </w:p>
        </w:tc>
      </w:tr>
    </w:tbl>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7. Convención de nombres de paths</w:t>
      </w:r>
    </w:p>
    <w:p>
      <w:pPr>
        <w:spacing w:before="60" w:after="60"/>
        <w:jc w:val="left"/>
      </w:pPr>
      <w:r>
        <w:rPr>
          <w:rFonts w:ascii="Arial" w:cs="Arial" w:eastAsia="Arial" w:hAnsi="Arial"/>
          <w:b w:val="false"/>
          <w:bCs w:val="false"/>
          <w:i w:val="false"/>
          <w:iCs w:val="false"/>
          <w:color w:val="1a1a2e"/>
          <w:sz w:val="22"/>
          <w:szCs w:val="22"/>
        </w:rPr>
        <w:t xml:space="preserve">Los paths dentro de cada bucket siguen una convención estricta. El company_id siempre es el primer segmento porque las RLS policies usan storage.foldername(name)[1] para el aislamiento multi-tenant.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Bucket</w:t>
            </w:r>
          </w:p>
        </w:tc>
        <w:tc>
          <w:tcPr>
            <w:tcW w:type="dxa" w:w="716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Patrón de path</w:t>
            </w:r>
          </w:p>
        </w:tc>
      </w:tr>
      <w:tr>
        <w:tc>
          <w:tcPr>
            <w:tcW w:type="dxa" w:w="2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product-catalog</w:t>
            </w:r>
          </w:p>
        </w:tc>
        <w:tc>
          <w:tcPr>
            <w:tcW w:type="dxa" w:w="7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{company_id}/{product_id}/{filename}.{ext}</w:t>
            </w:r>
          </w:p>
        </w:tc>
      </w:tr>
      <w:tr>
        <w:tc>
          <w:tcPr>
            <w:tcW w:type="dxa" w:w="2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product-catalog</w:t>
            </w:r>
          </w:p>
        </w:tc>
        <w:tc>
          <w:tcPr>
            <w:tcW w:type="dxa" w:w="7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{company_id}/{product_id}/main.webp  |  gallery-01.webp  |  thumbnail.webp</w:t>
            </w:r>
          </w:p>
        </w:tc>
      </w:tr>
      <w:tr>
        <w:tc>
          <w:tcPr>
            <w:tcW w:type="dxa" w:w="2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company-assets</w:t>
            </w:r>
          </w:p>
        </w:tc>
        <w:tc>
          <w:tcPr>
            <w:tcW w:type="dxa" w:w="7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{company_id}/logo.svg   |   {company_id}/banner.webp</w:t>
            </w:r>
          </w:p>
        </w:tc>
      </w:tr>
      <w:tr>
        <w:tc>
          <w:tcPr>
            <w:tcW w:type="dxa" w:w="2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order-references</w:t>
            </w:r>
          </w:p>
        </w:tc>
        <w:tc>
          <w:tcPr>
            <w:tcW w:type="dxa" w:w="7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{company_id}/{order_id}/{order_item_id}/{filename}.{ext}</w:t>
            </w:r>
          </w:p>
        </w:tc>
      </w:tr>
      <w:tr>
        <w:tc>
          <w:tcPr>
            <w:tcW w:type="dxa" w:w="2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ai-generated</w:t>
            </w:r>
          </w:p>
        </w:tc>
        <w:tc>
          <w:tcPr>
            <w:tcW w:type="dxa" w:w="7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{company_id}/{order_id}/{order_item_id}/{timestamp}_v{N}.webp</w:t>
            </w:r>
          </w:p>
        </w:tc>
      </w:tr>
      <w:tr>
        <w:tc>
          <w:tcPr>
            <w:tcW w:type="dxa" w:w="22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documents</w:t>
            </w:r>
          </w:p>
        </w:tc>
        <w:tc>
          <w:tcPr>
            <w:tcW w:type="dxa" w:w="71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{company_id}/{order_id}/invoice_{order_id}.pdf</w:t>
            </w:r>
          </w:p>
        </w:tc>
      </w:tr>
      <w:tr>
        <w:tc>
          <w:tcPr>
            <w:tcW w:type="dxa" w:w="22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documents</w:t>
            </w:r>
          </w:p>
        </w:tc>
        <w:tc>
          <w:tcPr>
            <w:tcW w:type="dxa" w:w="71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{company_id}/{order_id}/receipt_{transaction_id}.pdf</w:t>
            </w:r>
          </w:p>
        </w:tc>
      </w:tr>
    </w:tbl>
    <w:p>
      <w:pPr>
        <w:spacing w:before="100" w:after="0"/>
      </w:pPr>
      <w:r>
        <w:t xml:space="preserve"/>
      </w:r>
    </w:p>
    <w:p>
      <w:pPr>
        <w:spacing w:before="60" w:after="60"/>
        <w:jc w:val="left"/>
      </w:pPr>
      <w:r>
        <w:rPr>
          <w:rFonts w:ascii="Arial" w:cs="Arial" w:eastAsia="Arial" w:hAnsi="Arial"/>
          <w:b w:val="false"/>
          <w:bCs w:val="false"/>
          <w:i w:val="false"/>
          <w:iCs w:val="false"/>
          <w:color w:val="1a1a2e"/>
          <w:sz w:val="22"/>
          <w:szCs w:val="22"/>
        </w:rPr>
        <w:t xml:space="preserve">Nunca cambiar este patrón sin actualizar las RLS policies simultáneamente. Las policies usan los índices de segmento [1], [2], [3] para validar permisos.</w:t>
      </w:r>
    </w:p>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8. Scripts SQL — Estado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3060"/>
      </w:tblGrid>
      <w:tr>
        <w:tc>
          <w:tcPr>
            <w:tcW w:type="dxa" w:w="18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Script</w:t>
            </w:r>
          </w:p>
        </w:tc>
        <w:tc>
          <w:tcPr>
            <w:tcW w:type="dxa" w:w="30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Descripción</w:t>
            </w:r>
          </w:p>
        </w:tc>
        <w:tc>
          <w:tcPr>
            <w:tcW w:type="dxa" w:w="150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Estado</w:t>
            </w:r>
          </w:p>
        </w:tc>
        <w:tc>
          <w:tcPr>
            <w:tcW w:type="dxa" w:w="3060"/>
            <w:tcBorders>
              <w:top w:val="single" w:color="0f6e56" w:sz="2"/>
              <w:left w:val="single" w:color="0f6e56" w:sz="2"/>
              <w:bottom w:val="single" w:color="0f6e56" w:sz="2"/>
              <w:right w:val="single" w:color="0f6e56" w:sz="2"/>
            </w:tcBorders>
            <w:shd w:fill="0f6e56"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FFFFFF"/>
                <w:sz w:val="20"/>
                <w:szCs w:val="20"/>
              </w:rPr>
              <w:t xml:space="preserve">Qué creó</w:t>
            </w:r>
          </w:p>
        </w:tc>
      </w:tr>
      <w:tr>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01_create_buckets.sql</w:t>
            </w:r>
          </w:p>
        </w:tc>
        <w:tc>
          <w:tcPr>
            <w:tcW w:type="dxa" w:w="30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Creación de los 5 buckets</w:t>
            </w:r>
          </w:p>
        </w:tc>
        <w:tc>
          <w:tcPr>
            <w:tcW w:type="dxa" w:w="15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Ejecutado</w:t>
            </w:r>
          </w:p>
        </w:tc>
        <w:tc>
          <w:tcPr>
            <w:tcW w:type="dxa" w:w="30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5 buckets con visibilidad, límites y MIME types</w:t>
            </w:r>
          </w:p>
        </w:tc>
      </w:tr>
      <w:tr>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02_create_file_assets.sql</w:t>
            </w:r>
          </w:p>
        </w:tc>
        <w:tc>
          <w:tcPr>
            <w:tcW w:type="dxa" w:w="30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Tabla file_assets + limpieza legacy</w:t>
            </w:r>
          </w:p>
        </w:tc>
        <w:tc>
          <w:tcPr>
            <w:tcW w:type="dxa" w:w="15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Ejecutado</w:t>
            </w:r>
          </w:p>
        </w:tc>
        <w:tc>
          <w:tcPr>
            <w:tcW w:type="dxa" w:w="30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Enum, tabla, 10 constraints, 7 índices, trigger, función</w:t>
            </w:r>
          </w:p>
        </w:tc>
      </w:tr>
      <w:tr>
        <w:tc>
          <w:tcPr>
            <w:tcW w:type="dxa" w:w="18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02b_verificacion.sql</w:t>
            </w:r>
          </w:p>
        </w:tc>
        <w:tc>
          <w:tcPr>
            <w:tcW w:type="dxa" w:w="30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Verificación del Script 02</w:t>
            </w:r>
          </w:p>
        </w:tc>
        <w:tc>
          <w:tcPr>
            <w:tcW w:type="dxa" w:w="150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Verificado</w:t>
            </w:r>
          </w:p>
        </w:tc>
        <w:tc>
          <w:tcPr>
            <w:tcW w:type="dxa" w:w="3060"/>
            <w:tcBorders>
              <w:top w:val="single" w:color="c0ddd6" w:sz="2"/>
              <w:left w:val="single" w:color="c0ddd6" w:sz="2"/>
              <w:bottom w:val="single" w:color="c0ddd6" w:sz="2"/>
              <w:right w:val="single" w:color="c0ddd6" w:sz="2"/>
            </w:tcBorders>
            <w:shd w:fill="f4faf7"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4 checks: columnas, índices, constraints, enum</w:t>
            </w:r>
          </w:p>
        </w:tc>
      </w:tr>
      <w:tr>
        <w:tc>
          <w:tcPr>
            <w:tcW w:type="dxa" w:w="18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Courier New" w:cs="Courier New" w:eastAsia="Courier New" w:hAnsi="Courier New"/>
                <w:color w:val="1e3a5f"/>
                <w:sz w:val="18"/>
                <w:szCs w:val="18"/>
              </w:rPr>
              <w:t xml:space="preserve">03_rls_policies.sql</w:t>
            </w:r>
          </w:p>
        </w:tc>
        <w:tc>
          <w:tcPr>
            <w:tcW w:type="dxa" w:w="30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RLS Policies para los 5 buckets</w:t>
            </w:r>
          </w:p>
        </w:tc>
        <w:tc>
          <w:tcPr>
            <w:tcW w:type="dxa" w:w="150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0f6e56"/>
                <w:sz w:val="20"/>
                <w:szCs w:val="20"/>
              </w:rPr>
              <w:t xml:space="preserve">✓ Ejecutado</w:t>
            </w:r>
          </w:p>
        </w:tc>
        <w:tc>
          <w:tcPr>
            <w:tcW w:type="dxa" w:w="3060"/>
            <w:tcBorders>
              <w:top w:val="single" w:color="c0ddd6" w:sz="2"/>
              <w:left w:val="single" w:color="c0ddd6" w:sz="2"/>
              <w:bottom w:val="single" w:color="c0ddd6" w:sz="2"/>
              <w:right w:val="single" w:color="c0ddd6" w:sz="2"/>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i w:val="false"/>
                <w:iCs w:val="false"/>
                <w:color w:val="1a1a2e"/>
                <w:sz w:val="20"/>
                <w:szCs w:val="20"/>
              </w:rPr>
              <w:t xml:space="preserve">Función helper + 15 policies de seguridad</w:t>
            </w:r>
          </w:p>
        </w:tc>
      </w:tr>
    </w:tbl>
    <w:p>
      <w:pPr>
        <w:spacing w:before="100" w:after="0"/>
      </w:pPr>
      <w:r>
        <w:t xml:space="preserve"/>
      </w:r>
    </w:p>
    <w:p>
      <w:pPr>
        <w:pStyle w:val="Heading2"/>
        <w:spacing w:before="280" w:after="120"/>
      </w:pPr>
      <w:r>
        <w:rPr>
          <w:rFonts w:ascii="Arial" w:cs="Arial" w:eastAsia="Arial" w:hAnsi="Arial"/>
          <w:b/>
          <w:bCs/>
          <w:color w:val="1a1a2e"/>
          <w:sz w:val="28"/>
          <w:szCs w:val="28"/>
        </w:rPr>
        <w:t xml:space="preserve">Próximos pasos pendientes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Script 04 — RLS policies en la tabla file_assets (la tabla también necesita protección para que el cliente no lea registros de otras empresas directamente desde la DB).</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Upload flow en Next.js — código cliente para subir imágenes de referencia y de catálogo usando las policies creadas.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API Route backend — endpoint server-side con service_role para guardar imágenes IA y generar documentos.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Componentes React — hook useSignedUrl() para obtener Signed URLs en tiempo real desde componentes de pedidos.</w:t>
      </w:r>
    </w:p>
    <w:p>
      <w:pPr>
        <w:spacing w:before="200" w:after="0"/>
      </w:pPr>
      <w:r>
        <w:t xml:space="preserve"/>
      </w:r>
    </w:p>
    <w:p>
      <w:pPr>
        <w:pStyle w:val="Heading1"/>
        <w:pBdr>
          <w:bottom w:val="single" w:color="0f6e56" w:sz="6" w:space="4"/>
        </w:pBdr>
        <w:spacing w:before="360" w:after="160"/>
      </w:pPr>
      <w:r>
        <w:rPr>
          <w:rFonts w:ascii="Arial" w:cs="Arial" w:eastAsia="Arial" w:hAnsi="Arial"/>
          <w:b/>
          <w:bCs/>
          <w:color w:val="0f6e56"/>
          <w:sz w:val="36"/>
          <w:szCs w:val="36"/>
        </w:rPr>
        <w:t xml:space="preserve">9. Referencia rápida para el equipo</w:t>
      </w:r>
    </w:p>
    <w:p>
      <w:pPr>
        <w:pStyle w:val="Heading2"/>
        <w:spacing w:before="280" w:after="120"/>
      </w:pPr>
      <w:r>
        <w:rPr>
          <w:rFonts w:ascii="Arial" w:cs="Arial" w:eastAsia="Arial" w:hAnsi="Arial"/>
          <w:b/>
          <w:bCs/>
          <w:color w:val="1a1a2e"/>
          <w:sz w:val="28"/>
          <w:szCs w:val="28"/>
        </w:rPr>
        <w:t xml:space="preserve">¿Quiero subir una imagen de producto?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Bucket: product-catalog</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Desde: Next.js client component con createClientComponentClient()</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Path: {company_id}/{product_id}/{filename}.webp</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Después de subir: INSERT en file_assets con file_type = product_main (o product_gallery)</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¿Quiero subir la imagen de referencia de un pedido?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Bucket: order-references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Desde: Next.js client component — el usuario sube directo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Path: {company_id}/{order_id}/{order_item_id}/{filename}.jpg</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Después de subir: INSERT en file_assets con file_type = reference_image</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¿Quiero guardar una imagen generada por IA?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Bucket: ai-generated</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Desde: API Route de Next.js (server-side) con SUPABASE_SERVICE_ROLE_KEY</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Antes de insertar: UPDATE file_assets SET is_active=false WHERE order_item_id=X AND file_type='ai_generated'</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Después de subir: INSERT en file_assets con file_type = ai_generated, generation_version y generation_prompt</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¿Quiero mostrar una imagen en el catálogo público?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Usar getPublicUrl(storagePath) del cliente Supabase</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La URL no expira y es apta para CDN y etiquetas &lt;img&gt; directas</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¿Quiero mostrar una imagen privada (pedido, IA)?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Usar createSignedUrl(storagePath, 3600) — válida por 1 hora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Generar la URL en tiempo real, nunca guardarla en base de datos</w:t>
      </w:r>
    </w:p>
    <w:p>
      <w:pPr>
        <w:spacing w:before="80" w:after="0"/>
      </w:pPr>
      <w:r>
        <w:t xml:space="preserve"/>
      </w:r>
    </w:p>
    <w:p>
      <w:pPr>
        <w:pStyle w:val="Heading2"/>
        <w:spacing w:before="280" w:after="120"/>
      </w:pPr>
      <w:r>
        <w:rPr>
          <w:rFonts w:ascii="Arial" w:cs="Arial" w:eastAsia="Arial" w:hAnsi="Arial"/>
          <w:b/>
          <w:bCs/>
          <w:color w:val="1a1a2e"/>
          <w:sz w:val="28"/>
          <w:szCs w:val="28"/>
        </w:rPr>
        <w:t xml:space="preserve">¿La RLS policy me devuelve 403 inesperadamente?</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Verificar que el path sigue exactamente el patrón: {company_id}/... con el company_id correcto en el primer segmento.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Verificar que el usuario tiene supabase_id no-null en public.users y company_id asignado.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Verificar que la sesión del usuario está activa (token no expirado).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Para buckets ai-generated y documents: verificar que el código corre en server-side con service_role, no en el browser.</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dd6" w:sz="4" w:space="4"/>
      </w:pBdr>
      <w:tabs>
        <w:tab w:val="right" w:pos="9026"/>
      </w:tabs>
      <w:spacing w:before="160" w:after="0"/>
    </w:pPr>
    <w:r>
      <w:rPr>
        <w:rFonts w:ascii="Arial" w:cs="Arial" w:eastAsia="Arial" w:hAnsi="Arial"/>
        <w:b w:val="false"/>
        <w:bCs w:val="false"/>
        <w:i w:val="false"/>
        <w:iCs w:val="false"/>
        <w:color w:val="6b7280"/>
        <w:sz w:val="16"/>
        <w:szCs w:val="16"/>
      </w:rPr>
      <w:t xml:space="preserve">Confidencial — uso interno</w:t>
    </w:r>
    <w:r>
      <w:rPr>
        <w:rFonts w:ascii="Arial" w:cs="Arial" w:eastAsia="Arial" w:hAnsi="Arial"/>
        <w:sz w:val="16"/>
        <w:szCs w:val="16"/>
      </w:rPr>
      <w:t xml:space="preserve">		</w:t>
    </w:r>
    <w:r>
      <w:rPr>
        <w:rFonts w:ascii="Arial" w:cs="Arial" w:eastAsia="Arial" w:hAnsi="Arial"/>
        <w:b w:val="false"/>
        <w:bCs w:val="false"/>
        <w:i w:val="false"/>
        <w:iCs w:val="false"/>
        <w:color w:val="6b7280"/>
        <w:sz w:val="16"/>
        <w:szCs w:val="16"/>
      </w:rPr>
      <w:t xml:space="preserve">Pág.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dd6" w:sz="4" w:space="4"/>
      </w:pBdr>
      <w:spacing w:before="0" w:after="160"/>
    </w:pPr>
    <w:r>
      <w:rPr>
        <w:rFonts w:ascii="Arial" w:cs="Arial" w:eastAsia="Arial" w:hAnsi="Arial"/>
        <w:b w:val="false"/>
        <w:bCs w:val="false"/>
        <w:i w:val="false"/>
        <w:iCs w:val="false"/>
        <w:color w:val="6b7280"/>
        <w:sz w:val="18"/>
        <w:szCs w:val="18"/>
      </w:rPr>
      <w:t xml:space="preserve">Arquitectura Supabase Storage</w:t>
    </w:r>
    <w:r>
      <w:rPr>
        <w:rFonts w:ascii="Arial" w:cs="Arial" w:eastAsia="Arial" w:hAnsi="Arial"/>
        <w:color w:val="6b7280"/>
        <w:sz w:val="18"/>
        <w:szCs w:val="18"/>
      </w:rPr>
      <w:t xml:space="preserve">    |    Documentación Técnica Interna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6e5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2026-03-30T04:00:15.854Z</dcterms:created>
  <dcterms:modified xsi:type="dcterms:W3CDTF">2026-03-30T04:00:15.855Z</dcterms:modified>
</cp:coreProperties>
</file>

<file path=docProps/custom.xml><?xml version="1.0" encoding="utf-8"?>
<Properties xmlns="http://schemas.openxmlformats.org/officeDocument/2006/custom-properties" xmlns:vt="http://schemas.openxmlformats.org/officeDocument/2006/docPropsVTypes"/>
</file>