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DOCUMENTACIÓN TÉCNICA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52"/>
          <w:szCs w:val="52"/>
        </w:rPr>
        <w:t xml:space="preserve">Arquitectura de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6e56"/>
          <w:sz w:val="52"/>
          <w:szCs w:val="52"/>
        </w:rPr>
        <w:t xml:space="preserve">Supabase Storage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565c0"/>
          <w:sz w:val="24"/>
          <w:szCs w:val="24"/>
        </w:rPr>
        <w:t xml:space="preserve">Versión 2.0 — Expansión Multimedia + Marketplace</w:t>
      </w:r>
    </w:p>
    <w:p>
      <w:pPr>
        <w:spacing w:after="4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Integración PostgreSQL · Seguridad · Flujos de subida · Multimedia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Scripts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ejecutados</w:t>
            </w:r>
          </w:p>
        </w:tc>
        <w:tc>
          <w:tcPr>
            <w:tcW w:type="dxa" w:w="187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Buckets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configurados</w:t>
            </w:r>
          </w:p>
        </w:tc>
        <w:tc>
          <w:tcPr>
            <w:tcW w:type="dxa" w:w="187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RLS Policies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 activas</w:t>
            </w:r>
          </w:p>
        </w:tc>
        <w:tc>
          <w:tcPr>
            <w:tcW w:type="dxa" w:w="187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Constraints DB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 activos</w:t>
            </w:r>
          </w:p>
        </w:tc>
        <w:tc>
          <w:tcPr>
            <w:tcW w:type="dxa" w:w="1872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Nuevos enums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(v2.0)</w:t>
            </w:r>
          </w:p>
        </w:tc>
      </w:tr>
    </w:tbl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Proyecto</w:t>
            </w:r>
          </w:p>
        </w:tc>
        <w:tc>
          <w:tcPr>
            <w:tcW w:type="dxa" w:w="7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E-commerce B2B con producción personalizada e IA — Marketplace</w:t>
            </w:r>
          </w:p>
        </w:tc>
      </w:tr>
      <w:tr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Stack</w:t>
            </w:r>
          </w:p>
        </w:tc>
        <w:tc>
          <w:tcPr>
            <w:tcW w:type="dxa" w:w="7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Supabase (PostgreSQL + Storage) · Next.js / React</w:t>
            </w:r>
          </w:p>
        </w:tc>
      </w:tr>
      <w:tr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Versión doc.</w:t>
            </w:r>
          </w:p>
        </w:tc>
        <w:tc>
          <w:tcPr>
            <w:tcW w:type="dxa" w:w="7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2.0 — Expansión Multimedia</w:t>
            </w:r>
          </w:p>
        </w:tc>
      </w:tr>
      <w:tr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Estado</w:t>
            </w:r>
          </w:p>
        </w:tc>
        <w:tc>
          <w:tcPr>
            <w:tcW w:type="dxa" w:w="7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Scripts 01–05 ejecutados y verificados. Arquitectura multimedia activa.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Visión general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sistema de almacenamiento está construido sobre Supabase Storage, integrado directamente con la base de datos PostgreSQL del proyecto. La arquitectura sigue tres principios fundamentales: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Separación de acceso: cada tipo de archivo vive en su propio bucket según su nivel de visibilidad y ciclo de vida.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Fuente de verdad única: la tabla file_assets en PostgreSQL es el único registro autoritativo de qué archivos existen, a quién pertenecen y dónde están almacenados.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Seguridad por diseño: el acceso a cada archivo está controlado por RLS policies que se evalúan en el motor de base de datos, no en el frontend.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18"/>
              <w:bottom w:val="single" w:color="1565c0" w:sz="6"/>
              <w:right w:val="single" w:color="1565c0" w:sz="6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Versión 2.0: la arquitectura evolucionó a un marketplace multimedia. file_assets ahora soporta imágenes, videos, documentos y audio. Los buckets fueron actualizados para admitir nuevos formatos y límites mayores.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sistema maneja cinco categorías de archivos con requisitos distintos: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35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 propietaria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Imágenes y video de productos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product-catalog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PBLICO</w:t>
            </w:r>
          </w:p>
        </w:tc>
        <w:tc>
          <w:tcPr>
            <w:tcW w:type="dxa" w:w="3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products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Logos y branding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company-assets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Privado</w:t>
            </w:r>
          </w:p>
        </w:tc>
        <w:tc>
          <w:tcPr>
            <w:tcW w:type="dxa" w:w="3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companies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Imágenes de referencia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order-references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Privado</w:t>
            </w:r>
          </w:p>
        </w:tc>
        <w:tc>
          <w:tcPr>
            <w:tcW w:type="dxa" w:w="3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order_items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Imágenes generadas por IA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ai-generated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Privado</w:t>
            </w:r>
          </w:p>
        </w:tc>
        <w:tc>
          <w:tcPr>
            <w:tcW w:type="dxa" w:w="3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order_items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Documentos y facturas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Privado</w:t>
            </w:r>
          </w:p>
        </w:tc>
        <w:tc>
          <w:tcPr>
            <w:tcW w:type="dxa" w:w="3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transactions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Buckets de Storage (Scripts 01 + 05)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buckets se crearon en el Script 01 y fueron actualizados en el Script 05 para soportar multimedia moderno. La configuración de cada bucket define su visibilidad, límite de tamaño y tipos MIME permitidos.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product-catalog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único bucket público del sistema. En la versión 2.0 fue actualizado para soportar video MP4 y WebM, el formato de imagen AVIF, y el límite de tamaño fue aumentado a 50 MB para acomodar videos demostrativos de productos.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328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v1.0</w:t>
            </w:r>
          </w:p>
        </w:tc>
        <w:tc>
          <w:tcPr>
            <w:tcW w:type="dxa" w:w="328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v2.0 (actual)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Visibilidad</w:t>
            </w:r>
          </w:p>
        </w:tc>
        <w:tc>
          <w:tcPr>
            <w:tcW w:type="dxa" w:w="3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Pública</w:t>
            </w:r>
          </w:p>
        </w:tc>
        <w:tc>
          <w:tcPr>
            <w:tcW w:type="dxa" w:w="3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Pública (sin cambio)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Tamaño máximo</w:t>
            </w:r>
          </w:p>
        </w:tc>
        <w:tc>
          <w:tcPr>
            <w:tcW w:type="dxa" w:w="3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 MB</w:t>
            </w:r>
          </w:p>
        </w:tc>
        <w:tc>
          <w:tcPr>
            <w:tcW w:type="dxa" w:w="32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50 MB (+400%)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Formatos imagen</w:t>
            </w:r>
          </w:p>
        </w:tc>
        <w:tc>
          <w:tcPr>
            <w:tcW w:type="dxa" w:w="3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jpeg, png, webp, gif</w:t>
            </w:r>
          </w:p>
        </w:tc>
        <w:tc>
          <w:tcPr>
            <w:tcW w:type="dxa" w:w="32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jpeg, png, webp, avif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Formatos video</w:t>
            </w:r>
          </w:p>
        </w:tc>
        <w:tc>
          <w:tcPr>
            <w:tcW w:type="dxa" w:w="3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 soportado</w:t>
            </w:r>
          </w:p>
        </w:tc>
        <w:tc>
          <w:tcPr>
            <w:tcW w:type="dxa" w:w="328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mp4, webm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 de imágenes: {company_id}/{product_id}/{filename}.webp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 de videos: {company_id}/{product_id}/{filename}.mp4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company-assets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Logos y banners de cada empresa. Sin cambios en la versión 2.0.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Visibilidad: privada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Tamaño máximo: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Tipos: jpeg, png, webp, svg+xml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Path: {company_id}/logo.svg  |  {company_id}/banner.webp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order-references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Imágenes de referencia subidas por el cliente. Sin cambios en la versión 2.0.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Visibilidad: privada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Tamaño máximo: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Tipos: jpeg, png, webp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Path: {company_id}/{order_id}/{order_item_id}/{filename}.jpg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ai-generated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Imágenes generadas por IA. Solo escritura desde el backend con service_role. Sin cambios en la versión 2.0.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Visibilidad: privada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Tamaño máximo: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Tipos: webp (preferido), png, jpeg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Path: {company_id}/{order_id}/{order_item_id}/{timestamp}_v{N}.webp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documents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Facturas y comprobantes. Sin cambios en la versión 2.0.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Visibilidad: privada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Tamaño máximo: 25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Tipos: pdf, xlsx, docx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Path: {company_id}/{order_id}/invoice_{order_id}.pdf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Tabla file_assets v2.0 — Arquitectura Multimedia (Scripts 02 + 04)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tabla file_assets es la fuente de verdad única para todos los archivos del sistema. En la versión 2.0 fue extendida con dos nuevos enums y columnas de metadata multimedia profesional para soportar el marketplace.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6"/>
              <w:left w:val="single" w:color="f0ad4e" w:sz="18"/>
              <w:bottom w:val="single" w:color="f0ad4e" w:sz="6"/>
              <w:right w:val="single" w:color="f0ad4e" w:sz="6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Regla fundamental: nunca construir URLs de Storage a partir de datos en otras tablas. Siempre obtener el storage_path desde file_assets y construir la URL desde ahí.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Enums multimedia (v2.0)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versión 1.0 usaba un solo enum file_type que mezclaba el tipo físico del archivo con su función visual. La versión 2.0 los desacopla en dos enums independientes: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media_kind_enum — tipo físico del archivo</w:t>
      </w: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  NUEVO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Archivo de imagen (jpeg, png, webp, avif)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Archivo de video (mp4, webm)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Documento (pdf, xlsx, docx)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audio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Archivo de audio (reservado para uso futuro)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model_3d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Modelo tridimensional (reservado para uso futuro)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media_role_enum — función visual del archivo</w:t>
      </w:r>
      <w:r>
        <w:rPr>
          <w:rFonts w:ascii="Arial" w:cs="Arial" w:eastAsia="Arial" w:hAnsi="Arial"/>
          <w:b/>
          <w:bCs/>
          <w:color w:val="1565c0"/>
          <w:sz w:val="16"/>
          <w:szCs w:val="16"/>
        </w:rPr>
        <w:t xml:space="preserve">  NUEVO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5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main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Asset principal del producto. Máximo 1 activo por producto (constraint uq_one_main_asset_per_product).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gallery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Elemento de galería. Múltiples por producto, con sort_order.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thumbnail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Miniatura para listados y previews rápidos.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preview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Vista previa. Usado para imágenes generadas por IA pendientes de aprobación.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attachment</w:t>
            </w:r>
          </w:p>
        </w:tc>
        <w:tc>
          <w:tcPr>
            <w:tcW w:type="dxa" w:w="65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Archivo adjunto. Para referencias de cliente, facturas y recibos.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Migración de file_type a media_kind + media_role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registros existentes en file_type fueron migrados automáticamente al nuevo modelo. El campo file_type se mantiene temporalmente por compatibilidad con componentes legacy del frontend y backend.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file_type (legacy)</w:t>
            </w:r>
          </w:p>
        </w:tc>
        <w:tc>
          <w:tcPr>
            <w:tcW w:type="dxa" w:w="228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media_kind</w:t>
            </w:r>
          </w:p>
        </w:tc>
        <w:tc>
          <w:tcPr>
            <w:tcW w:type="dxa" w:w="228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media_role</w:t>
            </w:r>
          </w:p>
        </w:tc>
        <w:tc>
          <w:tcPr>
            <w:tcW w:type="dxa" w:w="20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product_main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main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product_gallery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gallery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product_thumbnail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thumbnail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reference_image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attachment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ai_generated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preview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invoice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attachment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payment_receipt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</w:t>
            </w:r>
          </w:p>
        </w:tc>
        <w:tc>
          <w:tcPr>
            <w:tcW w:type="dxa" w:w="22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attachment</w:t>
            </w:r>
          </w:p>
        </w:tc>
        <w:tc>
          <w:tcPr>
            <w:tcW w:type="dxa" w:w="20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Migrado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Nuevas columnas multimedia (v2.0)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3960"/>
      </w:tblGrid>
      <w:tr>
        <w:tc>
          <w:tcPr>
            <w:tcW w:type="dxa" w:w="26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media_kind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media_kind_enum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Tipo físico del archivo. No nulo desde v2.0.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media_role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media_role_enum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Rol visual/lógico del asset. No nulo desde v2.0.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Ancho en píxeles para imágenes y videos.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height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Alto en píxeles para imágenes y videos.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duration_seconds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Duración para archivos de video y audio.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extension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Extensión real del archivo. Ej: webp, mp4, pdf.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checksum_sha256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Hash SHA256 para integridad y deduplicación de archivos.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processing_status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Estado del pipeline multimedia. Default: completed.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Nivel de visibilidad. Default: public.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single" w:color="1565c0" w:sz="2"/>
              <w:bottom w:val="single" w:color="1565c0" w:sz="2"/>
              <w:right w:val="single" w:color="1565c0" w:sz="2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6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Soft delete. NULL = activo. Timestamp = eliminado lógicamente.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Valores válidos para processing_status y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processing_status</w:t>
            </w:r>
          </w:p>
        </w:tc>
        <w:tc>
          <w:tcPr>
            <w:tcW w:type="dxa" w:w="468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uploading — subiendo al bucket</w:t>
            </w:r>
          </w:p>
        </w:tc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public — visible en catálogo</w:t>
            </w:r>
          </w:p>
        </w:tc>
      </w:tr>
      <w:tr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processing — en pipeline multimedia</w:t>
            </w:r>
          </w:p>
        </w:tc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private — solo empresa propietaria</w:t>
            </w:r>
          </w:p>
        </w:tc>
      </w:tr>
      <w:tr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completed — listo (default)</w:t>
            </w:r>
          </w:p>
        </w:tc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unlisted — accesible por URL directa, no indexado</w:t>
            </w:r>
          </w:p>
        </w:tc>
      </w:tr>
      <w:tr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optimized — procesado y optimizado</w:t>
            </w:r>
          </w:p>
        </w:tc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internal — solo uso interno del sistema</w:t>
            </w:r>
          </w:p>
        </w:tc>
      </w:tr>
      <w:tr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failed — error en procesamiento</w:t>
            </w:r>
          </w:p>
        </w:tc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deleted — marcado para eliminación</w:t>
            </w:r>
          </w:p>
        </w:tc>
        <w:tc>
          <w:tcPr>
            <w:tcW w:type="dxa" w:w="468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Soporte para galerías multimedia mixtas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versión 2.0 permite que un producto tenga una galería híbrida compuesta por imágenes y videos. Todos los assets siguen centralizados en file_assets.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media_kind</w:t>
            </w:r>
          </w:p>
        </w:tc>
        <w:tc>
          <w:tcPr>
            <w:tcW w:type="dxa" w:w="22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media_role</w:t>
            </w:r>
          </w:p>
        </w:tc>
        <w:tc>
          <w:tcPr>
            <w:tcW w:type="dxa" w:w="34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main</w:t>
            </w:r>
          </w:p>
        </w:tc>
        <w:tc>
          <w:tcPr>
            <w:tcW w:type="dxa" w:w="34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Imagen principal del producto</w:t>
            </w:r>
          </w:p>
        </w:tc>
      </w:tr>
      <w:tr>
        <w:tc>
          <w:tcPr>
            <w:tcW w:type="dxa" w:w="15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thumbnail</w:t>
            </w:r>
          </w:p>
        </w:tc>
        <w:tc>
          <w:tcPr>
            <w:tcW w:type="dxa" w:w="34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Miniatura para listados</w:t>
            </w:r>
          </w:p>
        </w:tc>
      </w:tr>
      <w:tr>
        <w:tc>
          <w:tcPr>
            <w:tcW w:type="dxa" w:w="15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gallery</w:t>
            </w:r>
          </w:p>
        </w:tc>
        <w:tc>
          <w:tcPr>
            <w:tcW w:type="dxa" w:w="34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Foto de galería #1</w:t>
            </w:r>
          </w:p>
        </w:tc>
      </w:tr>
      <w:tr>
        <w:tc>
          <w:tcPr>
            <w:tcW w:type="dxa" w:w="15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gallery</w:t>
            </w:r>
          </w:p>
        </w:tc>
        <w:tc>
          <w:tcPr>
            <w:tcW w:type="dxa" w:w="34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Foto de galería #2</w:t>
            </w:r>
          </w:p>
        </w:tc>
      </w:tr>
      <w:tr>
        <w:tc>
          <w:tcPr>
            <w:tcW w:type="dxa" w:w="15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gallery</w:t>
            </w:r>
          </w:p>
        </w:tc>
        <w:tc>
          <w:tcPr>
            <w:tcW w:type="dxa" w:w="34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Video demostrativo del producto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Seguridad — RLS Policies (Script 03)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Las RLS policies se implementaron en el Script 03 y no fueron modificadas en la actualización multimedia. El modelo de seguridad se mantiene intacto.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Función helper get_my_company_id()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Función central que resuelve el company_id del usuario autenticado. Todas las policies la invocan para el aislamiento multi-tenant.</w:t>
      </w:r>
    </w:p>
    <w:p>
      <w:pPr>
        <w:spacing w:after="0" w:before="40"/>
      </w:pPr>
      <w:r>
        <w:t xml:space="preserve"/>
      </w:r>
    </w:p>
    <w:p>
      <w:pPr>
        <w:pBdr>
          <w:top w:val="single" w:color="c8d8e8" w:sz="4"/>
        </w:pBd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OR REPLACE FUNCTION public.get_my_company_id()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RETURNS integer LANGUAGE sql STABLE SECURITY DEFINER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SET search_path = ''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 $$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SELECT company_id FROM public.users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WHERE supabase_id = auth.uid()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LIMIT 1;</w:t>
      </w:r>
    </w:p>
    <w:p>
      <w:pPr>
        <w:pBdr>
          <w:bottom w:val="single" w:color="c8d8e8" w:sz="4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$$;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Resumen de policies por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900"/>
        <w:gridCol w:w="900"/>
        <w:gridCol w:w="900"/>
        <w:gridCol w:w="3360"/>
      </w:tblGrid>
      <w:tr>
        <w:tc>
          <w:tcPr>
            <w:tcW w:type="dxa" w:w="24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9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INSERT</w:t>
            </w:r>
          </w:p>
        </w:tc>
        <w:tc>
          <w:tcPr>
            <w:tcW w:type="dxa" w:w="9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9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Lógica de acceso</w:t>
            </w:r>
          </w:p>
        </w:tc>
      </w:tr>
      <w:tr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product-catalog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Todos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33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Lectura pública. Escritura solo si path[1] = company_id del usuario.</w:t>
            </w:r>
          </w:p>
        </w:tc>
      </w:tr>
      <w:tr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company-assets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33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Solo usuarios de la misma empresa pueden leer y escribir.</w:t>
            </w:r>
          </w:p>
        </w:tc>
      </w:tr>
      <w:tr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order-references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Dueño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Dueño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Dueño</w:t>
            </w:r>
          </w:p>
        </w:tc>
        <w:tc>
          <w:tcPr>
            <w:tcW w:type="dxa" w:w="33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Doble candado: company_id + order_item del usuario autenticado.</w:t>
            </w:r>
          </w:p>
        </w:tc>
      </w:tr>
      <w:tr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ai-generated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Dueño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✕ Nadie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✕ Nadie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✕ Nadie</w:t>
            </w:r>
          </w:p>
        </w:tc>
        <w:tc>
          <w:tcPr>
            <w:tcW w:type="dxa" w:w="33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Solo lectura. Escritura exclusiva del backend con service_role.</w:t>
            </w:r>
          </w:p>
        </w:tc>
      </w:tr>
      <w:tr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documents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Empresa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✕ Nadie</w:t>
            </w:r>
          </w:p>
        </w:tc>
        <w:tc>
          <w:tcPr>
            <w:tcW w:type="dxa" w:w="9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✕ Nadie</w:t>
            </w:r>
          </w:p>
        </w:tc>
        <w:tc>
          <w:tcPr>
            <w:tcW w:type="dxa" w:w="33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Lectura por empresa. INSERT admin. Backend usa service_role.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Flujos de subida de archivos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Existen dos caminos para subir archivos. La versión 2.0 añade el flujo de video al Path A.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Path A — Subida directa desde el browser (cliente)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Buckets: order-references, product-catalog, company-assets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Incluyendo ahora: videos MP4/WebM hasta 50 MB en product-catalog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Autenticación: token JWT del usuario en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Validación: RLS policy verifica que el path pertenece al company_id del usuario</w:t>
      </w:r>
    </w:p>
    <w:p>
      <w:pPr>
        <w:spacing w:after="0" w:before="60"/>
      </w:pPr>
      <w:r>
        <w:t xml:space="preserve"/>
      </w:r>
    </w:p>
    <w:p>
      <w:pPr>
        <w:pBdr>
          <w:top w:val="single" w:color="c8d8e8" w:sz="4"/>
        </w:pBd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Ejemplo — subida de video de producto (v2.0)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storagePath = `${companyId}/${productId}/demo-${Date.now()}.mp4`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error } = await supabase.storage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.from('product-catalog')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.upload(storagePath, videoFile, { contentType: 'video/mp4', upsert: false })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Registrar en file_assets con los nuevos campos multimedia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await supabase.from('file_assets').insert({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bucket_name:        'product-catalog',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storage_path:       storagePath,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file_type:          'product_gallery',  // legacy, mantener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media_kind:         'video',             // nuevo v2.0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media_role:         'gallery',           // nuevo v2.0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mime_type:          'video/mp4',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size_bytes:         videoFile.size,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product_id:         productId,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sort_order:         2,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processing_status:  'completed',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visibility:         'public',</w:t>
      </w:r>
    </w:p>
    <w:p>
      <w:pPr>
        <w:pBdr>
          <w:bottom w:val="single" w:color="c8d8e8" w:sz="4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Path B — Subida desde el servidor (backend/service_role)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Buckets: ai-generated,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Autenticación: SUPABASE_SERVICE_ROLE_KEY (solo en servidor, nunca en browser)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6"/>
              <w:left w:val="single" w:color="f0ad4e" w:sz="18"/>
              <w:bottom w:val="single" w:color="f0ad4e" w:sz="6"/>
              <w:right w:val="single" w:color="f0ad4e" w:sz="6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CRÍTICO: La variable SUPABASE_SERVICE_ROLE_KEY nunca debe tener el prefijo NEXT_PUBLIC_. Si la expones al cliente, cualquier usuario puede bypassear todas las RLS policies.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Cómo obtener URLs de archivos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URL pública (solo product-catalog)</w:t>
      </w:r>
    </w:p>
    <w:p>
      <w:pPr>
        <w:pBdr>
          <w:top w:val="single" w:color="c8d8e8" w:sz="4"/>
        </w:pBd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URL pública directa — no expira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data } = supabase.storage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.from('product-catalog')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.getPublicUrl(storagePath)</w:t>
      </w:r>
    </w:p>
    <w:p>
      <w:pPr>
        <w:pBdr>
          <w:bottom w:val="single" w:color="c8d8e8" w:sz="4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return data.publicUrl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Signed URL (buckets privados)</w:t>
      </w:r>
    </w:p>
    <w:p>
      <w:pPr>
        <w:pBdr>
          <w:top w:val="single" w:color="c8d8e8" w:sz="4"/>
        </w:pBdr>
        <w:shd w:fill="f1f5f9" w:val="clear"/>
        <w:spacing w:after="0" w:before="8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Signed URL — expira en 1 hora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{ data } = await supabase.storage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.from('order-references')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.createSignedUrl(storagePath, 3600)</w:t>
      </w:r>
    </w:p>
    <w:p>
      <w:pPr>
        <w:pBdr>
          <w:bottom w:val="single" w:color="c8d8e8" w:sz="4"/>
        </w:pBdr>
        <w:shd w:fill="f1f5f9" w:val="clear"/>
        <w:spacing w:after="80" w:before="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return data.signedUrl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d4e" w:sz="6"/>
              <w:left w:val="single" w:color="f0ad4e" w:sz="18"/>
              <w:bottom w:val="single" w:color="f0ad4e" w:sz="6"/>
              <w:right w:val="single" w:color="f0ad4e" w:sz="6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2"/>
                <w:szCs w:val="22"/>
              </w:rPr>
              <w:t xml:space="preserve">Las Signed URLs no deben guardarse en base de datos. Generarlas en tiempo real cuando el usuario las necesita.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Convención de nombres de paths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company_id siempre es el primer segmento del path porque las RLS policies usan storage.foldername(name)[1] para el aislamiento multi-tenant. Nunca cambiar este patrón sin actualizar las policies simultáneamente.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71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Patrón de path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product-catalog</w:t>
            </w:r>
          </w:p>
        </w:tc>
        <w:tc>
          <w:tcPr>
            <w:tcW w:type="dxa" w:w="71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{company_id}/{product_id}/{filename}.webp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product-catalog</w:t>
            </w:r>
          </w:p>
        </w:tc>
        <w:tc>
          <w:tcPr>
            <w:tcW w:type="dxa" w:w="71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{company_id}/{product_id}/{filename}.mp4  (video v2.0)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company-assets</w:t>
            </w:r>
          </w:p>
        </w:tc>
        <w:tc>
          <w:tcPr>
            <w:tcW w:type="dxa" w:w="71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{company_id}/logo.svg   |   {company_id}/banner.webp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order-references</w:t>
            </w:r>
          </w:p>
        </w:tc>
        <w:tc>
          <w:tcPr>
            <w:tcW w:type="dxa" w:w="71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{company_id}/{order_id}/{order_item_id}/{filename}.jpg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ai-generated</w:t>
            </w:r>
          </w:p>
        </w:tc>
        <w:tc>
          <w:tcPr>
            <w:tcW w:type="dxa" w:w="71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{company_id}/{order_id}/{order_item_id}/{timestamp}_v{N}.webp</w:t>
            </w:r>
          </w:p>
        </w:tc>
      </w:tr>
      <w:tr>
        <w:tc>
          <w:tcPr>
            <w:tcW w:type="dxa" w:w="2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documents</w:t>
            </w:r>
          </w:p>
        </w:tc>
        <w:tc>
          <w:tcPr>
            <w:tcW w:type="dxa" w:w="71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{company_id}/{order_id}/invoice_{order_id}.pdf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Scripts SQL — Estado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200"/>
        <w:gridCol w:w="2960"/>
      </w:tblGrid>
      <w:tr>
        <w:tc>
          <w:tcPr>
            <w:tcW w:type="dxa" w:w="28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960"/>
            <w:tcBorders>
              <w:top w:val="single" w:color="0f6e56" w:sz="2"/>
              <w:left w:val="single" w:color="0f6e56" w:sz="2"/>
              <w:bottom w:val="single" w:color="0f6e56" w:sz="2"/>
              <w:right w:val="single" w:color="0f6e56" w:sz="2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Qué creó / modificó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01_create_buckets.sql</w:t>
            </w:r>
          </w:p>
        </w:tc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Creación de los 5 buckets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OK</w:t>
            </w:r>
          </w:p>
        </w:tc>
        <w:tc>
          <w:tcPr>
            <w:tcW w:type="dxa" w:w="2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 buckets con visibilidad, límites y MIME types v1.0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02_create_file_assets.sql</w:t>
            </w:r>
          </w:p>
        </w:tc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Tabla file_assets + limpieza legacy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OK</w:t>
            </w:r>
          </w:p>
        </w:tc>
        <w:tc>
          <w:tcPr>
            <w:tcW w:type="dxa" w:w="2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Enum file_type, 17 columnas, 10 constraints, 7 índices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02b_verificacion.sql</w:t>
            </w:r>
          </w:p>
        </w:tc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Verificación del Script 02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OK</w:t>
            </w:r>
          </w:p>
        </w:tc>
        <w:tc>
          <w:tcPr>
            <w:tcW w:type="dxa" w:w="2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 checks validados: columnas, índices, constraints, enum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03_rls_policies.sql</w:t>
            </w:r>
          </w:p>
        </w:tc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RLS Policies para los 5 buckets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OK</w:t>
            </w:r>
          </w:p>
        </w:tc>
        <w:tc>
          <w:tcPr>
            <w:tcW w:type="dxa" w:w="2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Función helper + 15 policies de seguridad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004_multimedia_upgrade.sql</w:t>
            </w:r>
          </w:p>
        </w:tc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Extensión multimedia de file_assets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OK</w:t>
            </w:r>
          </w:p>
        </w:tc>
        <w:tc>
          <w:tcPr>
            <w:tcW w:type="dxa" w:w="2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 enums nuevos, 10 columnas nuevas, migración de datos</w:t>
            </w:r>
          </w:p>
        </w:tc>
      </w:tr>
      <w:tr>
        <w:tc>
          <w:tcPr>
            <w:tcW w:type="dxa" w:w="28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005_storage_multimedia_upgrade.sql</w:t>
            </w:r>
          </w:p>
        </w:tc>
        <w:tc>
          <w:tcPr>
            <w:tcW w:type="dxa" w:w="24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Actualización bucket product-catalog</w:t>
            </w:r>
          </w:p>
        </w:tc>
        <w:tc>
          <w:tcPr>
            <w:tcW w:type="dxa" w:w="120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✓ OK</w:t>
            </w:r>
          </w:p>
        </w:tc>
        <w:tc>
          <w:tcPr>
            <w:tcW w:type="dxa" w:w="2960"/>
            <w:tcBorders>
              <w:top w:val="single" w:color="c0ddd6" w:sz="2"/>
              <w:left w:val="single" w:color="c0ddd6" w:sz="2"/>
              <w:bottom w:val="single" w:color="c0ddd6" w:sz="2"/>
              <w:right w:val="single" w:color="c0ddd6" w:sz="2"/>
            </w:tcBorders>
            <w:shd w:fill="f4f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Soporte video mp4/webm, avif, límite 50 MB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Próximos pasos 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Script 06 — RLS policies en la tabla file_assets (la tabla también necesita protección para que el cliente no lea registros de otras empresas desde la DB).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Upload flow en Next.js — código cliente para subir imágenes y videos con los nuevos campos media_kind y media_role.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API Route backend — endpoint server-side con service_role para guardar imágenes IA y generar documentos.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Pipeline multimedia — procesamiento automático de thumbnails, optimización de imágenes y transcodificación de video (processing_status).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Componente GalleryManager — drag &amp; drop para reordenar galerías usando sort_order.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Referencia rápida para el equipo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¿Quiero subir una imagen de producto?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Bucket: product-catalog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Desde: cliente Next.js con createClientComponentClient()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media_kind: image  |  media_role: main (principal) o gallery (galería) o thumbnail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Después de subir: INSERT en file_assets con los campos media_kind, media_role y sort_order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¿Quiero subir un video de producto? (nuevo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Bucket: product-catalog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Límite: 50 MB  |  Formato: video/mp4 o video/webm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Desde: cliente Next.js — la RLS policy permite el upload si el path[1] = company_id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media_kind: video  |  media_role: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Incluir: duration_seconds, width, height si están disponibles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¿Quiero subir la imagen de referencia de un pedido?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Bucket: order-references  |  Desde: cliente (el usuario sube directo)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media_kind: image  |  media_role: attachment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Path: {company_id}/{order_id}/{order_item_id}/{filename}.jpg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¿Quiero guardar una imagen generada por IA?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Bucket: ai-generated  |  Desde: API Route server-side con SUPABASE_SERVICE_ROLE_KEY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media_kind: image  |  media_role: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Antes de insertar: UPDATE is_active=false en la versión anterior del mismo order_item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Incluir: generation_prompt y generation_version en el INSERT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¿Quiero mostrar una imagen o video público?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Usar getPublicUrl(storagePath) — solo para product-catalog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URL no expira y es apta para CDN y etiquetas &lt;img&gt; o &lt;video&gt;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¿Quiero mostrar un archivo privado?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Usar createSignedUrl(storagePath, 3600) — válida por 1 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Generar en tiempo real, nunca guardar en base de datos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¿La RLS policy me devuelve 403 inesperadamente?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Verificar que el path sigue el patrón {company_id}/... con el company_id correcto en el primer segmento.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Verificar que el usuario tiene supabase_id no-null y company_id asignado en public.users.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ai-generated y documents: verificar que el código corre en server-side con service_role, no en el browser.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videos en product-catalog: verificar que el mime_type es video/mp4 o video/webm (otros formatos serán rechazados por el bucket).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ddd6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Confidencial — uso interno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ddd6" w:sz="4" w:space="4"/>
      </w:pBdr>
      <w:spacing w:after="16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8"/>
        <w:szCs w:val="18"/>
      </w:rPr>
      <w:t xml:space="preserve">Arquitectura Supabase Storage</w:t>
    </w:r>
    <w:r>
      <w:rPr>
        <w:rFonts w:ascii="Arial" w:cs="Arial" w:eastAsia="Arial" w:hAnsi="Arial"/>
        <w:color w:val="6b7280"/>
        <w:sz w:val="18"/>
        <w:szCs w:val="18"/>
      </w:rPr>
      <w:t xml:space="preserve">    |    Documentación Técnica Interna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2026-05-08T04:29:05.880Z</dcterms:created>
  <dcterms:modified xsi:type="dcterms:W3CDTF">2026-05-08T04:29:05.893Z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