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13"/>
        <w:tblW w:w="9700" w:type="dxa"/>
        <w:tblInd w:w="-92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9700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889" w:hRule="atLeast"/>
        </w:trPr>
        <w:tc>
          <w:tcPr>
            <w:tcW w:w="9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</w:t>
            </w:r>
          </w:p>
          <w:p>
            <w:pPr>
              <w:jc w:val="both"/>
              <w:rPr>
                <w:rFonts w:ascii="Calibri" w:hAnsi="Calibri" w:cs="Calibri"/>
                <w:b/>
                <w:color w:val="A6A6A6"/>
                <w:sz w:val="22"/>
                <w:szCs w:val="22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 xml:space="preserve">Guru Kripa,1B701, </w:t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</w:p>
          <w:p>
            <w:pPr>
              <w:jc w:val="both"/>
              <w:rPr>
                <w:rFonts w:ascii="Calibri" w:hAnsi="Calibri" w:cs="Calibri"/>
                <w:b/>
                <w:color w:val="A6A6A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>NG Suncity</w:t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  <w:u w:val="none" w:color="82C42A"/>
              </w:rPr>
              <w:t xml:space="preserve">, </w:t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>Phase -1</w:t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  <w:u w:val="none" w:color="82C42A"/>
              </w:rPr>
              <w:t>opp</w:t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 xml:space="preserve"> to BMC hospital, Thakur Village</w:t>
            </w:r>
          </w:p>
          <w:p>
            <w:pPr>
              <w:pStyle w:val="3"/>
              <w:rPr>
                <w:rFonts w:ascii="Calibri" w:hAnsi="Calibri" w:cs="Calibri"/>
                <w:color w:val="A6A6A6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Arial Black" w:hAnsi="Arial Black" w:cs="Calibri"/>
                <w:sz w:val="28"/>
                <w:szCs w:val="28"/>
              </w:rPr>
              <w:t>ARVIND GUPTA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A6A6A6"/>
                <w:sz w:val="22"/>
                <w:szCs w:val="22"/>
              </w:rPr>
              <w:t>Kandivali E-400101, Mumbai.</w:t>
            </w:r>
          </w:p>
          <w:p>
            <w:pPr>
              <w:jc w:val="both"/>
              <w:rPr>
                <w:rFonts w:ascii="Calibri" w:hAnsi="Calibri" w:cs="Calibri"/>
                <w:b/>
                <w:color w:val="A6A6A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color w:val="A6A6A6"/>
                <w:sz w:val="22"/>
                <w:szCs w:val="22"/>
              </w:rPr>
              <w:t>Email– gupta2002gupta@rediffmail.com</w:t>
            </w:r>
          </w:p>
          <w:p>
            <w:pPr>
              <w:pStyle w:val="3"/>
            </w:pPr>
            <w:r>
              <w:rPr>
                <w:rFonts w:ascii="Calibri" w:hAnsi="Calibri" w:cs="Calibri"/>
                <w:b w:val="0"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color w:val="A6A6A6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A6A6A6"/>
                <w:sz w:val="22"/>
                <w:szCs w:val="22"/>
              </w:rPr>
              <w:t>Contact No.</w:t>
            </w:r>
            <w:r>
              <w:rPr>
                <w:rFonts w:ascii="Calibri" w:hAnsi="Calibri" w:cs="Calibri"/>
                <w:color w:val="A6A6A6"/>
                <w:sz w:val="22"/>
                <w:szCs w:val="22"/>
                <w:u w:val="none" w:color="82C42A"/>
              </w:rPr>
              <w:t>, +91</w:t>
            </w:r>
            <w:r>
              <w:rPr>
                <w:rFonts w:ascii="Calibri" w:hAnsi="Calibri" w:cs="Calibri"/>
                <w:color w:val="A6A6A6"/>
                <w:sz w:val="22"/>
                <w:szCs w:val="22"/>
              </w:rPr>
              <w:t>9930613636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9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Introduction :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experienced quality-led business manager with a proven track record of success within highly competitive manufacturing sectors.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Strong all-round leadership &amp; operational management experience.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Results orientated &amp; profit-focused, with quality, planning skills.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Experience of production operations with enrichment of quality, ISO 9001, MHRA, USFDA, productivity, quality focus &amp; profitability initiatives within leading-edge markets.</w:t>
            </w:r>
          </w:p>
          <w:p>
            <w:pPr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Highlight: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M.PHARM (PHARMACEUTICS)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Ten years experience in Quality Assurance (injectable, semisolids and solid dosage form )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Well travelled abroad on official responsibilities, countries visited are Switzerland,England,Oman, France etc. as Auditee and Auditor.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Present status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Working as Quality Manager-Corporate Quality Assurance (CQA), Amdipharm Mercury Pharma company Ltd (AMCo),London, UK. Working at Mumbai office.</w:t>
            </w:r>
          </w:p>
          <w:p>
            <w:pPr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>
            <w:pPr>
              <w:pStyle w:val="4"/>
              <w:spacing w:after="75" w:line="18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Specialties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GMP Compliance, Regulatory Compliance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Stability Studies &amp; documentation.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Validation &amp; Qualification, Cleaning Validation, Computer System Validation (SAP Validation also) and Hold Time Studies.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GMP auditor (see appendix-I).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User Champion in SAP Development &amp; Implementation Project (QM Module).</w:t>
            </w:r>
          </w:p>
          <w:p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Education, Qualification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M. Pharma in Pharmaceutics from S.G.S.I.T.S, Indore in 2003.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B. Pharma from L.M. College of Science &amp; Technology, Jodhpur (Rajas than) in 2001.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 2001 qualified with 91.7 percentile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Employment:</w:t>
            </w:r>
          </w:p>
          <w:p>
            <w:pPr>
              <w:numPr>
                <w:ilvl w:val="0"/>
                <w:numId w:val="2"/>
              </w:numPr>
              <w:tabs>
                <w:tab w:val="left" w:pos="542"/>
                <w:tab w:val="left" w:pos="2160"/>
              </w:tabs>
              <w:ind w:left="452" w:hanging="4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Working with Amdipharm Mercury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Pharma company Ltd (AMCo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Mumbai</w:t>
            </w:r>
            <w:r>
              <w:rPr>
                <w:rFonts w:ascii="Calibri" w:hAnsi="Calibri" w:cs="Calibri"/>
                <w:sz w:val="22"/>
                <w:szCs w:val="22"/>
                <w:u w:val="none" w:color="82C42A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(A UK based MNC)</w:t>
            </w:r>
          </w:p>
          <w:p>
            <w:pPr>
              <w:tabs>
                <w:tab w:val="left" w:pos="720"/>
                <w:tab w:val="left" w:pos="2160"/>
              </w:tabs>
              <w:ind w:left="452" w:hanging="4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Quality Manager-CQA (injectable, Semisolids and solid dosage form)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Duration</w:t>
            </w:r>
            <w:r>
              <w:rPr>
                <w:rFonts w:ascii="Calibri" w:hAnsi="Calibri" w:cs="Calibri"/>
                <w:sz w:val="22"/>
                <w:szCs w:val="22"/>
              </w:rPr>
              <w:t>:   July, 2008 to till date.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Job Profile</w:t>
            </w:r>
            <w:r>
              <w:rPr>
                <w:rFonts w:ascii="Calibri" w:hAnsi="Calibri" w:cs="Calibri"/>
                <w:sz w:val="22"/>
                <w:szCs w:val="22"/>
              </w:rPr>
              <w:t>: responsible for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Coordination with third party manufacturers (TPMs) and testing laboratories to get the quality product as per MA and GMP regulations.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 responsible for products quality manufactured at external manufacturing site &amp; monitoring of the sites for GMP compliance and communication with Central Quality of external manufacturing site.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Coordination with Qualified Person (QP) for product release in time for EU market.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left" w:pos="542"/>
                <w:tab w:val="left" w:pos="72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Regulatory and QMS Compliance &amp; Quality related issues leading to a threat to the Product or Patient Risk.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and follow up of documentation such as change control,deviation, investigation reports &amp; implementation of CAPA.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Ensuring compliance with national and international standards and legislation.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Quality Risk Management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Management of Validation activities likes process validation and computer system validation.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manage stability study with a view to ensure timely accomplishment of product targets to meet the regulatory requirements.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Responsible for preparation of response against regulatory queries.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ensure that all the skills and knowledge gaps identified within the team is managed and delivered.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Liaise effectively with SCM\Regulatory Personnel to drive efficiency.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Key achievements include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Active host in MHRA audit four times, 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completed SAP implementation project for quality module.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Participation as Manager in project “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Chrysalis- company name change</w:t>
            </w:r>
            <w:r>
              <w:rPr>
                <w:rFonts w:ascii="Calibri" w:hAnsi="Calibri" w:cs="Calibri"/>
                <w:sz w:val="22"/>
                <w:szCs w:val="22"/>
              </w:rPr>
              <w:t>”.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and successfully implemented stability studies program for finished product.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establish profit making products by gap analysis and trouble soothing.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Implementation of risk assessment concept in change management system.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Currently participating as key member in project “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Gemini- Company Merger</w:t>
            </w:r>
            <w:r>
              <w:rPr>
                <w:rFonts w:ascii="Calibri" w:hAnsi="Calibri" w:cs="Calibri"/>
                <w:sz w:val="22"/>
                <w:szCs w:val="22"/>
              </w:rPr>
              <w:t>”</w:t>
            </w:r>
          </w:p>
          <w:p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tabs>
                <w:tab w:val="left" w:pos="72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(2)   Worked with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Torrent Pharma Pvt Ltd, Indrad, Ahemdabad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Designation: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Assistant Manager Quality Assurance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(injectable and solid dosage form)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Duration:   September, 2005 to July, 2008.    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Job Profile: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Handling &amp; review of ANDA before submission.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of following documents for dossier compilation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Formula Card, Sampling Protocol, Process Evaluation Report, Exhibit Batch Summary Report, Stability Protocol, Specification &amp; STP of RM and  Finished product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Preparation and Implementation of Validation Master plan (Process Validation, Cleaning Validation, Computer system validation)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Handling of Site Transfer Dossier. 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Handling of Variation in Site Transfer Dossier. 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get prepared to face external GMP audits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 inspection and auditing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Handling of OOS &amp; Deviation.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Key achievements include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Active hosted in USFDA audit two times, 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and implementation of Hold Time studies for intermediates and bulk pharmaceutical.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 technology transfer of 120 products from German dossiers (Company takeover).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  <w:tab w:val="clear" w:pos="1080"/>
              </w:tabs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Championed the development &amp; implementation of cleaning validation and Process validation plans.</w:t>
            </w:r>
          </w:p>
          <w:p>
            <w:pPr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tabs>
                <w:tab w:val="left" w:pos="436"/>
              </w:tabs>
              <w:ind w:left="436" w:hanging="376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(3) Worked with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SUN Pharmaceutical Industries, Silvassa</w:t>
            </w:r>
            <w:r>
              <w:rPr>
                <w:rFonts w:ascii="Calibri" w:hAnsi="Calibri" w:cs="Calibri"/>
                <w:b/>
                <w:sz w:val="22"/>
                <w:szCs w:val="22"/>
                <w:u w:val="none" w:color="82C42A"/>
              </w:rPr>
              <w:t xml:space="preserve">.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(DNH)</w:t>
            </w:r>
          </w:p>
          <w:p>
            <w:pPr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Duration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  August, 2004 to  September 2005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Job Profile: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BMR &amp; BPR preparation and auditing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 control &amp; deviation handling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SOP Preparation and issuance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 Validation Protocol preparation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Validation result handling and report preparation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Market complaints handling.</w:t>
            </w:r>
          </w:p>
          <w:p>
            <w:pPr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</w:t>
            </w:r>
          </w:p>
          <w:p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tabs>
                <w:tab w:val="left" w:pos="436"/>
              </w:tabs>
              <w:ind w:left="436" w:hanging="376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(4) Worked with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Nicholas Piramal India Limited</w:t>
            </w:r>
            <w:r>
              <w:rPr>
                <w:rFonts w:ascii="Calibri" w:hAnsi="Calibri" w:cs="Calibri"/>
                <w:b/>
                <w:sz w:val="22"/>
                <w:szCs w:val="22"/>
                <w:u w:val="none" w:color="82C42A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Pithampur</w:t>
            </w:r>
            <w:r>
              <w:rPr>
                <w:rFonts w:ascii="Calibri" w:hAnsi="Calibri" w:cs="Calibri"/>
                <w:b/>
                <w:sz w:val="22"/>
                <w:szCs w:val="22"/>
                <w:u w:val="none" w:color="82C42A"/>
              </w:rPr>
              <w:t xml:space="preserve"> (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M.P)</w:t>
            </w:r>
          </w:p>
          <w:p>
            <w:pPr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Duration:  July 2003 to July 2004. 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Job Profile: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(injectable and solid dosage form)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Batch Manufacturing Record Checking.</w:t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Assisting in Validation work.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>
            <w:pPr>
              <w:numPr>
                <w:ilvl w:val="0"/>
                <w:numId w:val="1"/>
              </w:numPr>
              <w:tabs>
                <w:tab w:val="left" w:pos="480"/>
                <w:tab w:val="clear" w:pos="1080"/>
              </w:tabs>
              <w:autoSpaceDE w:val="0"/>
              <w:autoSpaceDN w:val="0"/>
              <w:adjustRightInd w:val="0"/>
              <w:ind w:left="480" w:hanging="4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SOP &amp; Format review, and Issued</w:t>
            </w:r>
          </w:p>
          <w:p>
            <w:pPr>
              <w:autoSpaceDE w:val="0"/>
              <w:autoSpaceDN w:val="0"/>
              <w:adjustRightInd w:val="0"/>
              <w:ind w:left="48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pStyle w:val="7"/>
              <w:ind w:left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Personal Details</w:t>
            </w:r>
            <w:r>
              <w:rPr>
                <w:rFonts w:ascii="Calibri" w:hAnsi="Calibri" w:cs="Calibri"/>
                <w:b/>
                <w:bCs/>
                <w:color w:val="00808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Father’s Name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Shri R.D. Gupta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Mother’s Name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Smt. S.D. Gupta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Date of Birth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9</w:t>
            </w:r>
            <w:r>
              <w:rPr>
                <w:rFonts w:ascii="Calibri" w:hAnsi="Calibri" w:cs="Calibri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July, 1975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Marital Status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Married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Gender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Male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Health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Excellent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Permanent Address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46, Jawahar Nagar,</w:t>
            </w:r>
          </w:p>
          <w:p>
            <w:pPr>
              <w:pStyle w:val="7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Bazaria, Sawai Madhopur – Rajasthan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Phone Number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:+91 99 3061 3636, +91 99 3061 3637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Present salary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:  13.60 lacks (fixed) + Performance pays 15%-20%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of fixed CTC (variable) per annum.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Expected salary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: Negotiable at the time of interview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Notice period                                  : 30 days</w:t>
            </w:r>
          </w:p>
          <w:p>
            <w:pPr>
              <w:tabs>
                <w:tab w:val="left" w:pos="1260"/>
              </w:tabs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References:</w:t>
            </w:r>
          </w:p>
          <w:p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p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Dr. Alok Agarwal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Mr. Sairam</w:t>
            </w:r>
          </w:p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Executive Director,                              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Executive Director, Quality</w:t>
            </w:r>
          </w:p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Nector Pharmaceutical Ltd 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 xml:space="preserve"> Dr. Reddy laboratory Ltd</w:t>
            </w:r>
          </w:p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Hyderabad 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>Hyderabad</w:t>
            </w:r>
          </w:p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>
            <w:pPr>
              <w:tabs>
                <w:tab w:val="left" w:pos="1260"/>
              </w:tabs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pStyle w:val="7"/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Place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sz w:val="22"/>
                <w:szCs w:val="22"/>
              </w:rPr>
              <w:t>: Mumbai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[ARVIND GUPTA]</w:t>
            </w:r>
          </w:p>
          <w:p>
            <w:pPr>
              <w:tabs>
                <w:tab w:val="left" w:pos="1260"/>
              </w:tabs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9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</w:p>
        </w:tc>
      </w:tr>
    </w:tbl>
    <w:p/>
    <w:p/>
    <w:p>
      <w:pPr>
        <w:widowContro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 p p e n d i x   l</w:t>
      </w:r>
    </w:p>
    <w:p>
      <w:pPr>
        <w:widowControl w:val="0"/>
        <w:rPr>
          <w:snapToGrid w:val="0"/>
          <w:sz w:val="21"/>
          <w:szCs w:val="21"/>
          <w:u w:val="single"/>
        </w:rPr>
      </w:pPr>
    </w:p>
    <w:p>
      <w:pPr>
        <w:pStyle w:val="10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Site Visited</w:t>
      </w:r>
    </w:p>
    <w:p>
      <w:pPr>
        <w:pStyle w:val="10"/>
        <w:jc w:val="both"/>
        <w:rPr>
          <w:rFonts w:ascii="Century Gothic" w:hAnsi="Century Gothic" w:cs="Century Gothic"/>
          <w:sz w:val="21"/>
          <w:szCs w:val="21"/>
        </w:rPr>
      </w:pPr>
    </w:p>
    <w:p>
      <w:pPr>
        <w:numPr>
          <w:ilvl w:val="0"/>
          <w:numId w:val="5"/>
        </w:numPr>
        <w:ind w:left="360" w:firstLine="360"/>
        <w:jc w:val="both"/>
        <w:rPr>
          <w:rStyle w:val="15"/>
          <w:sz w:val="22"/>
          <w:szCs w:val="22"/>
        </w:rPr>
      </w:pPr>
      <w:r>
        <w:rPr>
          <w:rStyle w:val="15"/>
          <w:color w:val="000000"/>
          <w:sz w:val="22"/>
          <w:szCs w:val="22"/>
        </w:rPr>
        <w:t>Euro Caps Ltd, a manufacturer of softgel capsules based in South Wales,UK</w:t>
      </w:r>
    </w:p>
    <w:p>
      <w:pPr>
        <w:numPr>
          <w:ilvl w:val="0"/>
          <w:numId w:val="5"/>
        </w:numPr>
        <w:ind w:left="360" w:firstLine="360"/>
        <w:jc w:val="both"/>
        <w:rPr>
          <w:rStyle w:val="15"/>
          <w:color w:val="000000"/>
          <w:sz w:val="22"/>
          <w:szCs w:val="22"/>
        </w:rPr>
      </w:pPr>
      <w:r>
        <w:rPr>
          <w:rStyle w:val="15"/>
          <w:color w:val="000000"/>
          <w:sz w:val="22"/>
          <w:szCs w:val="22"/>
        </w:rPr>
        <w:t xml:space="preserve">Honeywood Limited, a contract packaging company operating in the </w:t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000000"/>
          <w:sz w:val="22"/>
          <w:szCs w:val="22"/>
        </w:rPr>
        <w:t>pharmaceutical, healthcare and general sectors.UK</w:t>
      </w:r>
    </w:p>
    <w:p>
      <w:pPr>
        <w:numPr>
          <w:ilvl w:val="0"/>
          <w:numId w:val="5"/>
        </w:numPr>
        <w:ind w:left="360" w:firstLine="360"/>
        <w:jc w:val="both"/>
        <w:rPr>
          <w:rStyle w:val="15"/>
          <w:color w:val="000000"/>
          <w:sz w:val="22"/>
          <w:szCs w:val="22"/>
        </w:rPr>
      </w:pPr>
      <w:r>
        <w:rPr>
          <w:rStyle w:val="15"/>
          <w:color w:val="2F2F2F"/>
          <w:sz w:val="22"/>
          <w:szCs w:val="22"/>
        </w:rPr>
        <w:t>Bentley Laboratories Ltd,</w:t>
      </w:r>
      <w:r>
        <w:rPr>
          <w:rStyle w:val="15"/>
          <w:color w:val="000000"/>
          <w:sz w:val="22"/>
          <w:szCs w:val="22"/>
        </w:rPr>
        <w:t xml:space="preserve"> a manufacturer of pharmaceuticals, based in </w:t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000000"/>
          <w:sz w:val="22"/>
          <w:szCs w:val="22"/>
        </w:rPr>
        <w:tab/>
      </w:r>
      <w:r>
        <w:rPr>
          <w:rStyle w:val="15"/>
          <w:color w:val="2F2F2F"/>
          <w:sz w:val="22"/>
          <w:szCs w:val="22"/>
        </w:rPr>
        <w:t>Edgware,UK.</w:t>
      </w:r>
    </w:p>
    <w:p>
      <w:pPr>
        <w:numPr>
          <w:ilvl w:val="0"/>
          <w:numId w:val="5"/>
        </w:numPr>
        <w:ind w:left="360" w:firstLine="360"/>
        <w:jc w:val="both"/>
        <w:rPr>
          <w:rStyle w:val="15"/>
          <w:sz w:val="22"/>
          <w:szCs w:val="22"/>
        </w:rPr>
      </w:pPr>
      <w:r>
        <w:rPr>
          <w:rStyle w:val="15"/>
          <w:color w:val="2F2F2F"/>
          <w:sz w:val="22"/>
          <w:szCs w:val="22"/>
        </w:rPr>
        <w:t>Pharmapac UK Ltd.  Wirral, United Kingdom.</w:t>
      </w:r>
    </w:p>
    <w:p>
      <w:pPr>
        <w:numPr>
          <w:ilvl w:val="0"/>
          <w:numId w:val="5"/>
        </w:numPr>
        <w:ind w:left="360" w:firstLine="360"/>
        <w:jc w:val="both"/>
        <w:rPr>
          <w:rStyle w:val="15"/>
          <w:sz w:val="22"/>
          <w:szCs w:val="22"/>
        </w:rPr>
      </w:pPr>
      <w:r>
        <w:rPr>
          <w:rStyle w:val="15"/>
          <w:color w:val="2F2F2F"/>
          <w:sz w:val="22"/>
          <w:szCs w:val="22"/>
        </w:rPr>
        <w:t>Oman pharmaceutical ltd, Oman.</w:t>
      </w:r>
    </w:p>
    <w:p>
      <w:pPr>
        <w:numPr>
          <w:ilvl w:val="0"/>
          <w:numId w:val="5"/>
        </w:numPr>
        <w:ind w:left="360" w:firstLine="360"/>
        <w:jc w:val="both"/>
        <w:rPr>
          <w:rStyle w:val="15"/>
          <w:sz w:val="22"/>
          <w:szCs w:val="22"/>
        </w:rPr>
      </w:pPr>
      <w:r>
        <w:rPr>
          <w:rStyle w:val="15"/>
          <w:color w:val="2F2F2F"/>
          <w:sz w:val="22"/>
          <w:szCs w:val="22"/>
        </w:rPr>
        <w:t>Custom pharmaceutical ltd , UK</w:t>
      </w:r>
    </w:p>
    <w:p>
      <w:pPr>
        <w:numPr>
          <w:ilvl w:val="0"/>
          <w:numId w:val="5"/>
        </w:numPr>
        <w:ind w:left="360" w:firstLine="360"/>
        <w:jc w:val="both"/>
        <w:rPr>
          <w:rStyle w:val="15"/>
          <w:sz w:val="22"/>
          <w:szCs w:val="22"/>
        </w:rPr>
      </w:pPr>
      <w:r>
        <w:rPr>
          <w:rStyle w:val="15"/>
          <w:color w:val="2F2F2F"/>
          <w:sz w:val="22"/>
          <w:szCs w:val="22"/>
        </w:rPr>
        <w:t>Bristol Lab, UK.</w:t>
      </w:r>
    </w:p>
    <w:p>
      <w:pPr>
        <w:ind w:left="720"/>
        <w:jc w:val="both"/>
        <w:rPr>
          <w:sz w:val="22"/>
          <w:szCs w:val="22"/>
        </w:rPr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widowContro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 p p e n d i x   II:-Trainings attended</w:t>
      </w:r>
    </w:p>
    <w:p>
      <w:pPr>
        <w:widowControl w:val="0"/>
        <w:rPr>
          <w:b/>
          <w:bCs/>
          <w:sz w:val="22"/>
          <w:szCs w:val="22"/>
        </w:rPr>
      </w:pPr>
    </w:p>
    <w:p>
      <w:pPr>
        <w:widowControl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Work related trainings;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Computer System Validation-21CFR Part11/Annex 11.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Preparation of dossier and Variation application procedure (EU Dossier) by RRG, UK.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New GMP regulations for dietary supplements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Cleaning validation technologies and GMP expectations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Process validation technologies and GMP requirements.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Basic principles &amp; concept of SAP.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SUPAC guidelines for IR dosage forms.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Stability studies of new drug substances and new dosage forms.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Basic requirement for ANDA filing.</w:t>
      </w:r>
    </w:p>
    <w:p>
      <w:pPr>
        <w:numPr>
          <w:ilvl w:val="0"/>
          <w:numId w:val="6"/>
        </w:num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Basic aspect and rules for GMP audit.</w:t>
      </w:r>
    </w:p>
    <w:p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Personality development related trainings</w:t>
      </w:r>
      <w:r>
        <w:rPr>
          <w:sz w:val="22"/>
          <w:szCs w:val="22"/>
        </w:rPr>
        <w:t>;</w:t>
      </w:r>
    </w:p>
    <w:p>
      <w:pPr>
        <w:ind w:left="720"/>
        <w:jc w:val="both"/>
        <w:rPr>
          <w:sz w:val="21"/>
          <w:szCs w:val="21"/>
        </w:rPr>
      </w:pP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Accent leadership Program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Work life  balance skills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Goal setting &amp; Planning skills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Presentation skills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Financial and Nonfinancial aspects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Conflict Management skills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Coaching and Feedback skills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Interpersonal skills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Prioritization and Problem solving skills</w:t>
      </w:r>
    </w:p>
    <w:p>
      <w:pPr>
        <w:numPr>
          <w:ilvl w:val="0"/>
          <w:numId w:val="7"/>
        </w:numPr>
        <w:tabs>
          <w:tab w:val="left" w:pos="1440"/>
          <w:tab w:val="clear" w:pos="720"/>
        </w:tabs>
        <w:ind w:firstLine="0"/>
        <w:jc w:val="both"/>
      </w:pPr>
      <w:r>
        <w:rPr>
          <w:sz w:val="22"/>
          <w:szCs w:val="22"/>
        </w:rPr>
        <w:t xml:space="preserve">Work delegation and listening skills </w:t>
      </w:r>
    </w:p>
    <w:p/>
    <w:p/>
    <w:p/>
    <w:p/>
    <w:p/>
    <w:p/>
    <w:p/>
    <w:p/>
    <w:p/>
    <w:p>
      <w:pPr>
        <w:tabs>
          <w:tab w:val="left" w:pos="6564"/>
        </w:tabs>
      </w:pPr>
      <w: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endnotePr>
        <w:numFmt w:val="decimal"/>
      </w:endnotePr>
      <w:pgSz w:w="11909" w:h="16834"/>
      <w:pgMar w:top="450" w:right="1152" w:bottom="1152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ED5"/>
    <w:multiLevelType w:val="multilevel"/>
    <w:tmpl w:val="0A726ED5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 w:ascii="Century Gothic" w:hAnsi="Century Gothic" w:cs="Century Gothic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D6257"/>
    <w:multiLevelType w:val="multilevel"/>
    <w:tmpl w:val="0CBD6257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 w:ascii="Century Gothic" w:hAnsi="Century Gothic" w:cs="Century Gothic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7260"/>
    <w:multiLevelType w:val="multilevel"/>
    <w:tmpl w:val="0D7F7260"/>
    <w:lvl w:ilvl="0" w:tentative="0">
      <w:start w:val="1"/>
      <w:numFmt w:val="decimal"/>
      <w:lvlText w:val="(%1)"/>
      <w:lvlJc w:val="left"/>
      <w:pPr>
        <w:ind w:left="804" w:hanging="4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E1E69"/>
    <w:multiLevelType w:val="multilevel"/>
    <w:tmpl w:val="203E1E69"/>
    <w:lvl w:ilvl="0" w:tentative="0">
      <w:start w:val="1"/>
      <w:numFmt w:val="bullet"/>
      <w:lvlText w:val="▫"/>
      <w:lvlJc w:val="left"/>
      <w:pPr>
        <w:ind w:left="720" w:hanging="360"/>
      </w:pPr>
      <w:rPr>
        <w:rFonts w:hint="default" w:ascii="Century Gothic" w:hAnsi="Century Gothic"/>
        <w:b/>
        <w:i w:val="0"/>
        <w:color w:val="00808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2BB7523"/>
    <w:multiLevelType w:val="singleLevel"/>
    <w:tmpl w:val="42BB75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4"/>
        <w:lang w:val="en-US"/>
      </w:rPr>
    </w:lvl>
  </w:abstractNum>
  <w:abstractNum w:abstractNumId="5">
    <w:nsid w:val="44177961"/>
    <w:multiLevelType w:val="multilevel"/>
    <w:tmpl w:val="44177961"/>
    <w:lvl w:ilvl="0" w:tentative="0">
      <w:start w:val="1"/>
      <w:numFmt w:val="bullet"/>
      <w:lvlText w:val="▫"/>
      <w:lvlJc w:val="left"/>
      <w:pPr>
        <w:tabs>
          <w:tab w:val="left" w:pos="1080"/>
        </w:tabs>
        <w:ind w:left="1080"/>
      </w:pPr>
      <w:rPr>
        <w:rFonts w:hint="default" w:ascii="Century Gothic" w:hAnsi="Century Gothic"/>
        <w:b/>
        <w:i w:val="0"/>
        <w:color w:val="00808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E182930"/>
    <w:multiLevelType w:val="multilevel"/>
    <w:tmpl w:val="7E182930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 w:ascii="Century Gothic" w:hAnsi="Century Gothic" w:cs="Century Gothic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hyphenationZone w:val="360"/>
  <w:doNotHyphenateCaps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2D"/>
    <w:rsid w:val="00075019"/>
    <w:rsid w:val="00084032"/>
    <w:rsid w:val="000B5A30"/>
    <w:rsid w:val="000B64A2"/>
    <w:rsid w:val="000C7814"/>
    <w:rsid w:val="000F395C"/>
    <w:rsid w:val="000F5751"/>
    <w:rsid w:val="00112021"/>
    <w:rsid w:val="00123E66"/>
    <w:rsid w:val="00137425"/>
    <w:rsid w:val="001416FF"/>
    <w:rsid w:val="001477E0"/>
    <w:rsid w:val="00185257"/>
    <w:rsid w:val="001C3496"/>
    <w:rsid w:val="001C6AF0"/>
    <w:rsid w:val="001D55F8"/>
    <w:rsid w:val="001E38F1"/>
    <w:rsid w:val="001E4E62"/>
    <w:rsid w:val="001F64C0"/>
    <w:rsid w:val="002337AF"/>
    <w:rsid w:val="00277304"/>
    <w:rsid w:val="002E0784"/>
    <w:rsid w:val="002F3EE2"/>
    <w:rsid w:val="002F795D"/>
    <w:rsid w:val="00325A67"/>
    <w:rsid w:val="0033185A"/>
    <w:rsid w:val="00346092"/>
    <w:rsid w:val="0035786F"/>
    <w:rsid w:val="003A4679"/>
    <w:rsid w:val="003C1E58"/>
    <w:rsid w:val="003C2CFF"/>
    <w:rsid w:val="003C4ED8"/>
    <w:rsid w:val="003D09CA"/>
    <w:rsid w:val="003F53AF"/>
    <w:rsid w:val="00443E6E"/>
    <w:rsid w:val="004A62A5"/>
    <w:rsid w:val="004A6D1C"/>
    <w:rsid w:val="004B30E2"/>
    <w:rsid w:val="004C4776"/>
    <w:rsid w:val="004C636E"/>
    <w:rsid w:val="004D26C5"/>
    <w:rsid w:val="00517446"/>
    <w:rsid w:val="00521A09"/>
    <w:rsid w:val="0053108F"/>
    <w:rsid w:val="005374C3"/>
    <w:rsid w:val="00554356"/>
    <w:rsid w:val="00554647"/>
    <w:rsid w:val="00562C06"/>
    <w:rsid w:val="00565B0D"/>
    <w:rsid w:val="0059737D"/>
    <w:rsid w:val="005A1026"/>
    <w:rsid w:val="005B685F"/>
    <w:rsid w:val="005D0693"/>
    <w:rsid w:val="005D651A"/>
    <w:rsid w:val="005E1157"/>
    <w:rsid w:val="005F7D70"/>
    <w:rsid w:val="00634404"/>
    <w:rsid w:val="00636F92"/>
    <w:rsid w:val="006444B0"/>
    <w:rsid w:val="00656064"/>
    <w:rsid w:val="00666B11"/>
    <w:rsid w:val="00686D65"/>
    <w:rsid w:val="00691E89"/>
    <w:rsid w:val="006B366E"/>
    <w:rsid w:val="007025F7"/>
    <w:rsid w:val="0071330E"/>
    <w:rsid w:val="007266F6"/>
    <w:rsid w:val="007614CF"/>
    <w:rsid w:val="00761BDF"/>
    <w:rsid w:val="0079347F"/>
    <w:rsid w:val="00796434"/>
    <w:rsid w:val="007B4D6B"/>
    <w:rsid w:val="007C55C6"/>
    <w:rsid w:val="007E2EF0"/>
    <w:rsid w:val="008147D1"/>
    <w:rsid w:val="00814ABC"/>
    <w:rsid w:val="0087237E"/>
    <w:rsid w:val="009158EC"/>
    <w:rsid w:val="00957AB8"/>
    <w:rsid w:val="00984FB8"/>
    <w:rsid w:val="009B6724"/>
    <w:rsid w:val="009C4700"/>
    <w:rsid w:val="009F294D"/>
    <w:rsid w:val="00A271D4"/>
    <w:rsid w:val="00A51226"/>
    <w:rsid w:val="00A5497C"/>
    <w:rsid w:val="00A71A21"/>
    <w:rsid w:val="00AA5A23"/>
    <w:rsid w:val="00AD67E5"/>
    <w:rsid w:val="00AE1055"/>
    <w:rsid w:val="00B20F4B"/>
    <w:rsid w:val="00B51FF5"/>
    <w:rsid w:val="00BE1995"/>
    <w:rsid w:val="00C35E4D"/>
    <w:rsid w:val="00CA7460"/>
    <w:rsid w:val="00CA7BAA"/>
    <w:rsid w:val="00CC647A"/>
    <w:rsid w:val="00CE4D57"/>
    <w:rsid w:val="00CE648B"/>
    <w:rsid w:val="00CF7CD0"/>
    <w:rsid w:val="00D00A47"/>
    <w:rsid w:val="00D20A7F"/>
    <w:rsid w:val="00D41E38"/>
    <w:rsid w:val="00D43F07"/>
    <w:rsid w:val="00D61E63"/>
    <w:rsid w:val="00D63350"/>
    <w:rsid w:val="00DA418C"/>
    <w:rsid w:val="00DB3D8B"/>
    <w:rsid w:val="00DD29AB"/>
    <w:rsid w:val="00DE3DA6"/>
    <w:rsid w:val="00DF0A80"/>
    <w:rsid w:val="00E1623E"/>
    <w:rsid w:val="00E16CF4"/>
    <w:rsid w:val="00E30547"/>
    <w:rsid w:val="00E560FB"/>
    <w:rsid w:val="00E644B9"/>
    <w:rsid w:val="00E66D6D"/>
    <w:rsid w:val="00EC432D"/>
    <w:rsid w:val="00F16B0D"/>
    <w:rsid w:val="00F33239"/>
    <w:rsid w:val="00F95DBA"/>
    <w:rsid w:val="00FE1767"/>
    <w:rsid w:val="00FE1ED6"/>
    <w:rsid w:val="59A92BD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sz w:val="44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Monotype Corsiva"/>
      <w:b/>
      <w:sz w:val="40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1260"/>
      </w:tabs>
      <w:outlineLvl w:val="2"/>
    </w:pPr>
    <w:rPr>
      <w:b/>
      <w:sz w:val="28"/>
    </w:rPr>
  </w:style>
  <w:style w:type="paragraph" w:styleId="5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rFonts w:ascii="Century Gothic" w:hAnsi="Century Gothic"/>
      <w:b/>
      <w:bCs/>
      <w:sz w:val="22"/>
      <w:szCs w:val="22"/>
      <w:lang w:val="en-GB" w:eastAsia="en-GB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ody Text"/>
    <w:basedOn w:val="1"/>
    <w:uiPriority w:val="0"/>
    <w:rPr>
      <w:b/>
    </w:rPr>
  </w:style>
  <w:style w:type="paragraph" w:styleId="7">
    <w:name w:val="Body Text Indent"/>
    <w:basedOn w:val="1"/>
    <w:uiPriority w:val="0"/>
    <w:pPr>
      <w:ind w:left="2160"/>
      <w:jc w:val="both"/>
    </w:pPr>
  </w:style>
  <w:style w:type="paragraph" w:styleId="8">
    <w:name w:val="foot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Plain Text"/>
    <w:basedOn w:val="1"/>
    <w:link w:val="17"/>
    <w:uiPriority w:val="0"/>
    <w:rPr>
      <w:rFonts w:ascii="Courier New" w:hAnsi="Courier New" w:cs="Courier New"/>
      <w:sz w:val="20"/>
    </w:rPr>
  </w:style>
  <w:style w:type="character" w:styleId="12">
    <w:name w:val="Hyperlink"/>
    <w:semiHidden/>
    <w:uiPriority w:val="0"/>
    <w:rPr>
      <w:color w:val="0000FF"/>
      <w:u w:val="single"/>
    </w:rPr>
  </w:style>
  <w:style w:type="paragraph" w:styleId="14">
    <w:name w:val=""/>
    <w:basedOn w:val="1"/>
    <w:qFormat/>
    <w:uiPriority w:val="34"/>
    <w:pPr>
      <w:ind w:left="720"/>
    </w:pPr>
  </w:style>
  <w:style w:type="character" w:customStyle="1" w:styleId="15">
    <w:name w:val="apple-style-span"/>
    <w:basedOn w:val="11"/>
    <w:uiPriority w:val="0"/>
  </w:style>
  <w:style w:type="character" w:customStyle="1" w:styleId="16">
    <w:name w:val="apple-converted-space"/>
    <w:basedOn w:val="11"/>
    <w:uiPriority w:val="0"/>
  </w:style>
  <w:style w:type="character" w:customStyle="1" w:styleId="17">
    <w:name w:val="Plain Text Char"/>
    <w:link w:val="10"/>
    <w:uiPriority w:val="0"/>
    <w:rPr>
      <w:rFonts w:ascii="Courier New" w:hAnsi="Courier New" w:cs="Courier New"/>
      <w:lang w:val="en-US" w:eastAsia="en-US"/>
    </w:rPr>
  </w:style>
  <w:style w:type="character" w:customStyle="1" w:styleId="18">
    <w:name w:val="Heading 6 Char"/>
    <w:link w:val="5"/>
    <w:uiPriority w:val="0"/>
    <w:rPr>
      <w:rFonts w:ascii="Century Gothic" w:hAnsi="Century Gothic"/>
      <w:b/>
      <w:bCs/>
      <w:sz w:val="22"/>
      <w:szCs w:val="22"/>
      <w:lang w:val="en-GB" w:eastAsia="en-GB"/>
    </w:rPr>
  </w:style>
  <w:style w:type="character" w:customStyle="1" w:styleId="19">
    <w:name w:val="Header Char"/>
    <w:link w:val="9"/>
    <w:semiHidden/>
    <w:uiPriority w:val="99"/>
    <w:rPr>
      <w:sz w:val="24"/>
      <w:lang w:bidi="ar-SA"/>
    </w:rPr>
  </w:style>
  <w:style w:type="character" w:customStyle="1" w:styleId="20">
    <w:name w:val="Footer Char"/>
    <w:link w:val="8"/>
    <w:semiHidden/>
    <w:uiPriority w:val="99"/>
    <w:rPr>
      <w:sz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4</Pages>
  <Words>1137</Words>
  <Characters>6482</Characters>
  <Lines>54</Lines>
  <Paragraphs>15</Paragraphs>
  <ScaleCrop>false</ScaleCrop>
  <LinksUpToDate>false</LinksUpToDate>
  <CharactersWithSpaces>7604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2014-09-23T06:22:00Z</dcterms:created>
  <dc:creator>InHelm</dc:creator>
  <cp:lastModifiedBy>DELL</cp:lastModifiedBy>
  <cp:lastPrinted>2005-03-07T08:08:00Z</cp:lastPrinted>
  <dcterms:modified xsi:type="dcterms:W3CDTF">2017-01-16T12:58:59Z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