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9B" w:rsidRDefault="001507A2" w:rsidP="002D644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946B2">
        <w:rPr>
          <w:rFonts w:ascii="Times New Roman" w:hAnsi="Times New Roman"/>
          <w:b/>
          <w:sz w:val="28"/>
          <w:szCs w:val="28"/>
        </w:rPr>
        <w:t>Curriculum vitae</w:t>
      </w:r>
    </w:p>
    <w:p w:rsidR="002D6442" w:rsidRPr="00D568C9" w:rsidRDefault="00D6235E" w:rsidP="002D644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5C689B">
        <w:rPr>
          <w:rFonts w:ascii="Times New Roman" w:hAnsi="Times New Roman"/>
          <w:sz w:val="24"/>
          <w:szCs w:val="24"/>
        </w:rPr>
        <w:t>Na</w:t>
      </w:r>
      <w:r w:rsidR="00D568C9" w:rsidRPr="00D568C9">
        <w:rPr>
          <w:rFonts w:ascii="Times New Roman" w:hAnsi="Times New Roman"/>
          <w:sz w:val="24"/>
          <w:szCs w:val="24"/>
        </w:rPr>
        <w:t xml:space="preserve">me </w:t>
      </w:r>
      <w:r w:rsidR="00D568C9" w:rsidRPr="00D568C9">
        <w:rPr>
          <w:rFonts w:ascii="Times New Roman" w:hAnsi="Times New Roman"/>
          <w:sz w:val="24"/>
          <w:szCs w:val="24"/>
        </w:rPr>
        <w:tab/>
      </w:r>
      <w:r w:rsidR="00D568C9" w:rsidRPr="00D568C9">
        <w:rPr>
          <w:rFonts w:ascii="Times New Roman" w:hAnsi="Times New Roman"/>
          <w:sz w:val="24"/>
          <w:szCs w:val="24"/>
        </w:rPr>
        <w:tab/>
      </w:r>
      <w:r w:rsidR="00420F11" w:rsidRPr="00D568C9">
        <w:rPr>
          <w:rFonts w:ascii="Times New Roman" w:hAnsi="Times New Roman"/>
          <w:sz w:val="24"/>
          <w:szCs w:val="24"/>
        </w:rPr>
        <w:tab/>
        <w:t xml:space="preserve">: </w:t>
      </w:r>
      <w:r w:rsidR="00420F11" w:rsidRPr="00D568C9">
        <w:rPr>
          <w:rFonts w:ascii="Times New Roman" w:hAnsi="Times New Roman"/>
          <w:sz w:val="24"/>
          <w:szCs w:val="24"/>
        </w:rPr>
        <w:tab/>
      </w:r>
      <w:r w:rsidR="00420F11" w:rsidRPr="00D568C9">
        <w:rPr>
          <w:rFonts w:ascii="Times New Roman" w:hAnsi="Times New Roman"/>
          <w:sz w:val="24"/>
          <w:szCs w:val="24"/>
        </w:rPr>
        <w:tab/>
      </w:r>
      <w:proofErr w:type="spellStart"/>
      <w:r w:rsidR="003F4BC2" w:rsidRPr="00D568C9">
        <w:rPr>
          <w:rFonts w:ascii="Times New Roman" w:hAnsi="Times New Roman"/>
          <w:sz w:val="24"/>
          <w:szCs w:val="24"/>
        </w:rPr>
        <w:t>VinayPalgauta</w:t>
      </w:r>
      <w:proofErr w:type="spellEnd"/>
    </w:p>
    <w:p w:rsidR="002D6442" w:rsidRPr="00D568C9" w:rsidRDefault="00D568C9" w:rsidP="002D6442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D568C9">
        <w:rPr>
          <w:rFonts w:ascii="Times New Roman" w:hAnsi="Times New Roman"/>
          <w:sz w:val="24"/>
          <w:szCs w:val="24"/>
        </w:rPr>
        <w:t xml:space="preserve">Gender          </w:t>
      </w:r>
      <w:r w:rsidRPr="00D568C9">
        <w:rPr>
          <w:rFonts w:ascii="Times New Roman" w:hAnsi="Times New Roman"/>
          <w:sz w:val="24"/>
          <w:szCs w:val="24"/>
        </w:rPr>
        <w:tab/>
      </w:r>
      <w:r w:rsidR="002D6442" w:rsidRPr="00D568C9">
        <w:rPr>
          <w:rFonts w:ascii="Times New Roman" w:hAnsi="Times New Roman"/>
          <w:sz w:val="24"/>
          <w:szCs w:val="24"/>
        </w:rPr>
        <w:tab/>
        <w:t>:</w:t>
      </w:r>
      <w:r w:rsidR="002D6442" w:rsidRPr="00D568C9">
        <w:rPr>
          <w:rFonts w:ascii="Times New Roman" w:hAnsi="Times New Roman"/>
          <w:sz w:val="24"/>
          <w:szCs w:val="24"/>
        </w:rPr>
        <w:tab/>
      </w:r>
      <w:r w:rsidR="002D6442" w:rsidRPr="00D568C9">
        <w:rPr>
          <w:rFonts w:ascii="Times New Roman" w:hAnsi="Times New Roman"/>
          <w:sz w:val="24"/>
          <w:szCs w:val="24"/>
        </w:rPr>
        <w:tab/>
        <w:t xml:space="preserve"> Male</w:t>
      </w:r>
    </w:p>
    <w:p w:rsidR="002D6442" w:rsidRPr="00D568C9" w:rsidRDefault="00D568C9" w:rsidP="002D6442">
      <w:pPr>
        <w:ind w:firstLine="720"/>
        <w:rPr>
          <w:rFonts w:ascii="Times New Roman" w:hAnsi="Times New Roman"/>
          <w:sz w:val="24"/>
          <w:szCs w:val="24"/>
        </w:rPr>
      </w:pPr>
      <w:r w:rsidRPr="00D568C9">
        <w:rPr>
          <w:rFonts w:ascii="Times New Roman" w:hAnsi="Times New Roman"/>
          <w:sz w:val="24"/>
          <w:szCs w:val="24"/>
        </w:rPr>
        <w:t>Date of Birth</w:t>
      </w:r>
      <w:r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ab/>
      </w:r>
      <w:r w:rsidR="003F4BC2" w:rsidRPr="00D568C9">
        <w:rPr>
          <w:rFonts w:ascii="Times New Roman" w:hAnsi="Times New Roman"/>
          <w:sz w:val="24"/>
          <w:szCs w:val="24"/>
        </w:rPr>
        <w:t>:</w:t>
      </w:r>
      <w:r w:rsidR="003F4BC2" w:rsidRPr="00D568C9">
        <w:rPr>
          <w:rFonts w:ascii="Times New Roman" w:hAnsi="Times New Roman"/>
          <w:sz w:val="24"/>
          <w:szCs w:val="24"/>
        </w:rPr>
        <w:tab/>
      </w:r>
      <w:r w:rsidR="003F4BC2" w:rsidRPr="00D568C9">
        <w:rPr>
          <w:rFonts w:ascii="Times New Roman" w:hAnsi="Times New Roman"/>
          <w:sz w:val="24"/>
          <w:szCs w:val="24"/>
        </w:rPr>
        <w:tab/>
        <w:t>28-07-1989</w:t>
      </w:r>
    </w:p>
    <w:p w:rsidR="002D6442" w:rsidRPr="00D568C9" w:rsidRDefault="002D6442" w:rsidP="002D6442">
      <w:pPr>
        <w:ind w:firstLine="720"/>
        <w:rPr>
          <w:rFonts w:ascii="Times New Roman" w:hAnsi="Times New Roman"/>
          <w:sz w:val="24"/>
          <w:szCs w:val="24"/>
        </w:rPr>
      </w:pPr>
      <w:r w:rsidRPr="00D568C9">
        <w:rPr>
          <w:rFonts w:ascii="Times New Roman" w:hAnsi="Times New Roman"/>
          <w:sz w:val="24"/>
          <w:szCs w:val="24"/>
        </w:rPr>
        <w:t>Fat</w:t>
      </w:r>
      <w:r w:rsidR="00420F11" w:rsidRPr="00D568C9">
        <w:rPr>
          <w:rFonts w:ascii="Times New Roman" w:hAnsi="Times New Roman"/>
          <w:sz w:val="24"/>
          <w:szCs w:val="24"/>
        </w:rPr>
        <w:t>h</w:t>
      </w:r>
      <w:r w:rsidR="00D568C9" w:rsidRPr="00D568C9">
        <w:rPr>
          <w:rFonts w:ascii="Times New Roman" w:hAnsi="Times New Roman"/>
          <w:sz w:val="24"/>
          <w:szCs w:val="24"/>
        </w:rPr>
        <w:t>er’s name</w:t>
      </w:r>
      <w:r w:rsidR="00D568C9" w:rsidRPr="00D568C9">
        <w:rPr>
          <w:rFonts w:ascii="Times New Roman" w:hAnsi="Times New Roman"/>
          <w:sz w:val="24"/>
          <w:szCs w:val="24"/>
        </w:rPr>
        <w:tab/>
      </w:r>
      <w:r w:rsidR="00D568C9" w:rsidRPr="00D568C9">
        <w:rPr>
          <w:rFonts w:ascii="Times New Roman" w:hAnsi="Times New Roman"/>
          <w:sz w:val="24"/>
          <w:szCs w:val="24"/>
        </w:rPr>
        <w:tab/>
      </w:r>
      <w:r w:rsidR="003F4BC2" w:rsidRPr="00D568C9">
        <w:rPr>
          <w:rFonts w:ascii="Times New Roman" w:hAnsi="Times New Roman"/>
          <w:sz w:val="24"/>
          <w:szCs w:val="24"/>
        </w:rPr>
        <w:t>:</w:t>
      </w:r>
      <w:r w:rsidR="003F4BC2" w:rsidRPr="00D568C9">
        <w:rPr>
          <w:rFonts w:ascii="Times New Roman" w:hAnsi="Times New Roman"/>
          <w:sz w:val="24"/>
          <w:szCs w:val="24"/>
        </w:rPr>
        <w:tab/>
      </w:r>
      <w:r w:rsidR="003F4BC2" w:rsidRPr="00D568C9">
        <w:rPr>
          <w:rFonts w:ascii="Times New Roman" w:hAnsi="Times New Roman"/>
          <w:sz w:val="24"/>
          <w:szCs w:val="24"/>
        </w:rPr>
        <w:tab/>
        <w:t>Umaid Raj Palgauta</w:t>
      </w:r>
    </w:p>
    <w:p w:rsidR="00664AEE" w:rsidRPr="00D568C9" w:rsidRDefault="00664AEE" w:rsidP="002D644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No.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7877560568</w:t>
      </w:r>
    </w:p>
    <w:p w:rsidR="00664AEE" w:rsidRDefault="00D568C9" w:rsidP="005862F3">
      <w:pPr>
        <w:ind w:firstLine="720"/>
        <w:rPr>
          <w:rFonts w:ascii="Times New Roman" w:hAnsi="Times New Roman"/>
          <w:sz w:val="24"/>
          <w:szCs w:val="24"/>
        </w:rPr>
      </w:pPr>
      <w:r w:rsidRPr="00D568C9">
        <w:rPr>
          <w:rFonts w:ascii="Times New Roman" w:hAnsi="Times New Roman"/>
          <w:sz w:val="24"/>
          <w:szCs w:val="24"/>
        </w:rPr>
        <w:t>Email</w:t>
      </w:r>
      <w:r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ab/>
        <w:t xml:space="preserve">: </w:t>
      </w:r>
      <w:r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ab/>
      </w:r>
      <w:hyperlink r:id="rId7" w:history="1">
        <w:r w:rsidR="00664AEE" w:rsidRPr="00BD3ED1">
          <w:rPr>
            <w:rStyle w:val="Hyperlink"/>
            <w:rFonts w:ascii="Times New Roman" w:hAnsi="Times New Roman"/>
            <w:sz w:val="24"/>
            <w:szCs w:val="24"/>
          </w:rPr>
          <w:t>jain.vinaypalgauta007@gmail.com</w:t>
        </w:r>
      </w:hyperlink>
    </w:p>
    <w:p w:rsidR="00664AEE" w:rsidRDefault="00664AEE" w:rsidP="005862F3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 City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Jodhpur</w:t>
      </w:r>
    </w:p>
    <w:p w:rsidR="002D6442" w:rsidRPr="00D568C9" w:rsidRDefault="00664AEE" w:rsidP="005862F3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Prefer Location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Jodhpur</w:t>
      </w:r>
      <w:r w:rsidR="00CD1534">
        <w:rPr>
          <w:rFonts w:ascii="Times New Roman" w:hAnsi="Times New Roman"/>
          <w:sz w:val="24"/>
          <w:szCs w:val="24"/>
        </w:rPr>
        <w:t>, Barmer</w:t>
      </w:r>
      <w:r w:rsidR="002D6442" w:rsidRPr="00D568C9">
        <w:rPr>
          <w:rFonts w:ascii="Times New Roman" w:hAnsi="Times New Roman"/>
          <w:sz w:val="24"/>
          <w:szCs w:val="24"/>
        </w:rPr>
        <w:tab/>
      </w:r>
    </w:p>
    <w:p w:rsidR="002D6442" w:rsidRPr="00721408" w:rsidRDefault="002D6442" w:rsidP="005C689B">
      <w:pPr>
        <w:rPr>
          <w:rFonts w:ascii="Times New Roman" w:hAnsi="Times New Roman"/>
          <w:b/>
          <w:sz w:val="24"/>
          <w:szCs w:val="24"/>
        </w:rPr>
      </w:pPr>
      <w:r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ab/>
      </w:r>
      <w:r w:rsidRPr="00721408">
        <w:rPr>
          <w:rFonts w:ascii="Times New Roman" w:hAnsi="Times New Roman"/>
          <w:b/>
          <w:sz w:val="24"/>
          <w:szCs w:val="24"/>
        </w:rPr>
        <w:t xml:space="preserve">PGDBM with </w:t>
      </w:r>
      <w:proofErr w:type="spellStart"/>
      <w:r w:rsidR="00721408">
        <w:rPr>
          <w:rFonts w:ascii="Times New Roman" w:hAnsi="Times New Roman"/>
          <w:b/>
          <w:sz w:val="24"/>
          <w:szCs w:val="24"/>
        </w:rPr>
        <w:t>TimesP</w:t>
      </w:r>
      <w:r w:rsidRPr="00721408">
        <w:rPr>
          <w:rFonts w:ascii="Times New Roman" w:hAnsi="Times New Roman"/>
          <w:b/>
          <w:sz w:val="24"/>
          <w:szCs w:val="24"/>
        </w:rPr>
        <w:t>ro</w:t>
      </w:r>
      <w:proofErr w:type="spellEnd"/>
    </w:p>
    <w:p w:rsidR="002D6442" w:rsidRPr="00D568C9" w:rsidRDefault="003F4BC2" w:rsidP="002D6442">
      <w:pPr>
        <w:rPr>
          <w:rFonts w:ascii="Times New Roman" w:hAnsi="Times New Roman"/>
          <w:b/>
          <w:sz w:val="24"/>
          <w:szCs w:val="24"/>
          <w:u w:val="single"/>
        </w:rPr>
      </w:pPr>
      <w:r w:rsidRPr="00D568C9">
        <w:rPr>
          <w:rFonts w:ascii="Times New Roman" w:hAnsi="Times New Roman"/>
          <w:b/>
          <w:sz w:val="24"/>
          <w:szCs w:val="24"/>
        </w:rPr>
        <w:t>Pursuing</w:t>
      </w:r>
      <w:r w:rsidR="002D6442" w:rsidRPr="00D568C9">
        <w:rPr>
          <w:rFonts w:ascii="Times New Roman" w:hAnsi="Times New Roman"/>
          <w:b/>
          <w:sz w:val="24"/>
          <w:szCs w:val="24"/>
        </w:rPr>
        <w:t xml:space="preserve"> Post Graduate Diploma in Banking Management PGDBM</w:t>
      </w:r>
      <w:r w:rsidR="002D6442" w:rsidRPr="00D568C9">
        <w:rPr>
          <w:rFonts w:ascii="Times New Roman" w:hAnsi="Times New Roman"/>
          <w:sz w:val="24"/>
          <w:szCs w:val="24"/>
        </w:rPr>
        <w:t>.</w:t>
      </w:r>
    </w:p>
    <w:p w:rsidR="002D6442" w:rsidRPr="00D568C9" w:rsidRDefault="002D6442" w:rsidP="002D6442">
      <w:pPr>
        <w:rPr>
          <w:rFonts w:ascii="Times New Roman" w:hAnsi="Times New Roman"/>
          <w:sz w:val="24"/>
          <w:szCs w:val="24"/>
        </w:rPr>
      </w:pPr>
      <w:r w:rsidRPr="00D568C9">
        <w:rPr>
          <w:rFonts w:ascii="Times New Roman" w:hAnsi="Times New Roman"/>
          <w:sz w:val="24"/>
          <w:szCs w:val="24"/>
        </w:rPr>
        <w:t xml:space="preserve">Centre Name  </w:t>
      </w:r>
      <w:r w:rsidRPr="00D568C9">
        <w:rPr>
          <w:rFonts w:ascii="Times New Roman" w:hAnsi="Times New Roman"/>
          <w:sz w:val="24"/>
          <w:szCs w:val="24"/>
        </w:rPr>
        <w:tab/>
      </w:r>
      <w:r w:rsidR="00EF26B5"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>: Times Centre for Learning Limited (Times Pro</w:t>
      </w:r>
      <w:r w:rsidR="003F4BC2" w:rsidRPr="00D568C9">
        <w:rPr>
          <w:rFonts w:ascii="Times New Roman" w:hAnsi="Times New Roman"/>
          <w:sz w:val="24"/>
          <w:szCs w:val="24"/>
        </w:rPr>
        <w:t>, Jaipur</w:t>
      </w:r>
      <w:r w:rsidRPr="00D568C9">
        <w:rPr>
          <w:rFonts w:ascii="Times New Roman" w:hAnsi="Times New Roman"/>
          <w:sz w:val="24"/>
          <w:szCs w:val="24"/>
        </w:rPr>
        <w:t xml:space="preserve">).   </w:t>
      </w:r>
    </w:p>
    <w:p w:rsidR="002D6442" w:rsidRPr="00D568C9" w:rsidRDefault="002D6442" w:rsidP="002D6442">
      <w:pPr>
        <w:rPr>
          <w:rFonts w:ascii="Times New Roman" w:hAnsi="Times New Roman"/>
          <w:sz w:val="24"/>
          <w:szCs w:val="24"/>
        </w:rPr>
      </w:pPr>
      <w:r w:rsidRPr="00D568C9">
        <w:rPr>
          <w:rFonts w:ascii="Times New Roman" w:hAnsi="Times New Roman"/>
          <w:sz w:val="24"/>
          <w:szCs w:val="24"/>
        </w:rPr>
        <w:t xml:space="preserve">Registration Number   </w:t>
      </w:r>
      <w:r w:rsidR="0093172F" w:rsidRPr="00D568C9">
        <w:rPr>
          <w:rFonts w:ascii="Times New Roman" w:hAnsi="Times New Roman"/>
          <w:sz w:val="24"/>
          <w:szCs w:val="24"/>
        </w:rPr>
        <w:t>:  E13CC1082793</w:t>
      </w:r>
      <w:r w:rsidRPr="00D568C9">
        <w:rPr>
          <w:rFonts w:ascii="Times New Roman" w:hAnsi="Times New Roman"/>
          <w:sz w:val="24"/>
          <w:szCs w:val="24"/>
        </w:rPr>
        <w:t xml:space="preserve">.  </w:t>
      </w:r>
    </w:p>
    <w:p w:rsidR="002D6442" w:rsidRPr="00D568C9" w:rsidRDefault="002D6442" w:rsidP="002D6442">
      <w:pPr>
        <w:rPr>
          <w:rFonts w:ascii="Times New Roman" w:hAnsi="Times New Roman"/>
          <w:sz w:val="24"/>
          <w:szCs w:val="24"/>
        </w:rPr>
      </w:pPr>
      <w:r w:rsidRPr="00D568C9">
        <w:rPr>
          <w:rFonts w:ascii="Times New Roman" w:hAnsi="Times New Roman"/>
          <w:sz w:val="24"/>
          <w:szCs w:val="24"/>
        </w:rPr>
        <w:t xml:space="preserve">Batch Code               </w:t>
      </w:r>
      <w:r w:rsidR="00EF26B5" w:rsidRPr="00D568C9">
        <w:rPr>
          <w:rFonts w:ascii="Times New Roman" w:hAnsi="Times New Roman"/>
          <w:sz w:val="24"/>
          <w:szCs w:val="24"/>
        </w:rPr>
        <w:tab/>
      </w:r>
      <w:r w:rsidR="000F464E" w:rsidRPr="00D568C9">
        <w:rPr>
          <w:rFonts w:ascii="Times New Roman" w:hAnsi="Times New Roman"/>
          <w:sz w:val="24"/>
          <w:szCs w:val="24"/>
        </w:rPr>
        <w:t>: JAI01AA0814</w:t>
      </w:r>
    </w:p>
    <w:p w:rsidR="008E1117" w:rsidRPr="008655C7" w:rsidRDefault="008E1117" w:rsidP="002D6442">
      <w:pPr>
        <w:rPr>
          <w:rFonts w:ascii="Times New Roman" w:hAnsi="Times New Roman"/>
          <w:b/>
          <w:sz w:val="24"/>
          <w:szCs w:val="24"/>
          <w:u w:val="single"/>
        </w:rPr>
      </w:pPr>
      <w:r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ab/>
      </w:r>
      <w:r w:rsidRPr="008655C7">
        <w:rPr>
          <w:rFonts w:ascii="Times New Roman" w:hAnsi="Times New Roman"/>
          <w:b/>
          <w:sz w:val="24"/>
          <w:szCs w:val="24"/>
          <w:u w:val="single"/>
        </w:rPr>
        <w:t xml:space="preserve">Academic Scores </w:t>
      </w:r>
    </w:p>
    <w:tbl>
      <w:tblPr>
        <w:tblStyle w:val="TableGrid"/>
        <w:tblpPr w:leftFromText="180" w:rightFromText="180" w:vertAnchor="text" w:horzAnchor="margin" w:tblpY="373"/>
        <w:tblW w:w="0" w:type="auto"/>
        <w:tblLook w:val="04A0"/>
      </w:tblPr>
      <w:tblGrid>
        <w:gridCol w:w="7390"/>
        <w:gridCol w:w="1853"/>
      </w:tblGrid>
      <w:tr w:rsidR="008E1117" w:rsidRPr="00D568C9" w:rsidTr="005C689B">
        <w:trPr>
          <w:trHeight w:val="667"/>
        </w:trPr>
        <w:tc>
          <w:tcPr>
            <w:tcW w:w="7390" w:type="dxa"/>
          </w:tcPr>
          <w:p w:rsidR="008E1117" w:rsidRPr="00D568C9" w:rsidRDefault="008E1117" w:rsidP="008E111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68C9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Subject</w:t>
            </w:r>
          </w:p>
        </w:tc>
        <w:tc>
          <w:tcPr>
            <w:tcW w:w="1853" w:type="dxa"/>
          </w:tcPr>
          <w:p w:rsidR="008E1117" w:rsidRPr="00D568C9" w:rsidRDefault="008E1117" w:rsidP="008E111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68C9">
              <w:rPr>
                <w:rFonts w:ascii="Times New Roman" w:hAnsi="Times New Roman"/>
                <w:b/>
                <w:sz w:val="24"/>
                <w:szCs w:val="24"/>
              </w:rPr>
              <w:t xml:space="preserve">    % Marks </w:t>
            </w:r>
          </w:p>
          <w:p w:rsidR="008E1117" w:rsidRPr="00D568C9" w:rsidRDefault="008E1117" w:rsidP="008E111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68C9">
              <w:rPr>
                <w:rFonts w:ascii="Times New Roman" w:hAnsi="Times New Roman"/>
                <w:b/>
                <w:sz w:val="24"/>
                <w:szCs w:val="24"/>
              </w:rPr>
              <w:t xml:space="preserve">     Obtained</w:t>
            </w:r>
          </w:p>
        </w:tc>
      </w:tr>
      <w:tr w:rsidR="008E1117" w:rsidRPr="00D568C9" w:rsidTr="005C689B">
        <w:trPr>
          <w:trHeight w:val="187"/>
        </w:trPr>
        <w:tc>
          <w:tcPr>
            <w:tcW w:w="7390" w:type="dxa"/>
          </w:tcPr>
          <w:p w:rsidR="008E1117" w:rsidRPr="00D568C9" w:rsidRDefault="008E1117" w:rsidP="008E1117">
            <w:pPr>
              <w:rPr>
                <w:rFonts w:ascii="Times New Roman" w:hAnsi="Times New Roman"/>
                <w:sz w:val="24"/>
                <w:szCs w:val="24"/>
              </w:rPr>
            </w:pPr>
            <w:r w:rsidRPr="00D568C9">
              <w:rPr>
                <w:rFonts w:ascii="Times New Roman" w:hAnsi="Times New Roman"/>
                <w:sz w:val="24"/>
                <w:szCs w:val="24"/>
              </w:rPr>
              <w:t>Introduction to Banking</w:t>
            </w:r>
          </w:p>
        </w:tc>
        <w:tc>
          <w:tcPr>
            <w:tcW w:w="1853" w:type="dxa"/>
          </w:tcPr>
          <w:p w:rsidR="008E1117" w:rsidRPr="00D568C9" w:rsidRDefault="003F4BC2" w:rsidP="008E1117">
            <w:pPr>
              <w:rPr>
                <w:rFonts w:ascii="Times New Roman" w:hAnsi="Times New Roman"/>
                <w:sz w:val="24"/>
                <w:szCs w:val="24"/>
              </w:rPr>
            </w:pPr>
            <w:r w:rsidRPr="00D568C9">
              <w:rPr>
                <w:rFonts w:ascii="Times New Roman" w:hAnsi="Times New Roman"/>
                <w:sz w:val="24"/>
                <w:szCs w:val="24"/>
              </w:rPr>
              <w:t>68%</w:t>
            </w:r>
          </w:p>
        </w:tc>
      </w:tr>
      <w:tr w:rsidR="000A1935" w:rsidRPr="00D568C9" w:rsidTr="005C689B">
        <w:trPr>
          <w:trHeight w:val="190"/>
        </w:trPr>
        <w:tc>
          <w:tcPr>
            <w:tcW w:w="7390" w:type="dxa"/>
          </w:tcPr>
          <w:p w:rsidR="000A1935" w:rsidRPr="00D568C9" w:rsidRDefault="000A1935" w:rsidP="008E1117">
            <w:pPr>
              <w:rPr>
                <w:rFonts w:ascii="Times New Roman" w:hAnsi="Times New Roman"/>
                <w:sz w:val="24"/>
                <w:szCs w:val="24"/>
              </w:rPr>
            </w:pPr>
            <w:r w:rsidRPr="00D568C9">
              <w:rPr>
                <w:rFonts w:ascii="Times New Roman" w:hAnsi="Times New Roman"/>
                <w:sz w:val="24"/>
                <w:szCs w:val="24"/>
              </w:rPr>
              <w:t xml:space="preserve">Law and Practice of Banking  </w:t>
            </w:r>
          </w:p>
        </w:tc>
        <w:tc>
          <w:tcPr>
            <w:tcW w:w="1853" w:type="dxa"/>
          </w:tcPr>
          <w:p w:rsidR="000A1935" w:rsidRPr="00D568C9" w:rsidRDefault="000A1935" w:rsidP="008E11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72%</w:t>
            </w:r>
          </w:p>
        </w:tc>
      </w:tr>
      <w:tr w:rsidR="008E1117" w:rsidRPr="00D568C9" w:rsidTr="005C689B">
        <w:trPr>
          <w:trHeight w:val="190"/>
        </w:trPr>
        <w:tc>
          <w:tcPr>
            <w:tcW w:w="7390" w:type="dxa"/>
          </w:tcPr>
          <w:p w:rsidR="008E1117" w:rsidRPr="00D568C9" w:rsidRDefault="000A1935" w:rsidP="008E11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Retail Banking</w:t>
            </w:r>
          </w:p>
        </w:tc>
        <w:tc>
          <w:tcPr>
            <w:tcW w:w="1853" w:type="dxa"/>
          </w:tcPr>
          <w:p w:rsidR="000A1935" w:rsidRPr="00D568C9" w:rsidRDefault="000A1935" w:rsidP="008E11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</w:t>
            </w:r>
            <w:r w:rsidR="00420F11" w:rsidRPr="00D568C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0A1935" w:rsidRPr="00D568C9" w:rsidTr="005C689B">
        <w:trPr>
          <w:trHeight w:val="308"/>
        </w:trPr>
        <w:tc>
          <w:tcPr>
            <w:tcW w:w="7390" w:type="dxa"/>
          </w:tcPr>
          <w:p w:rsidR="000A1935" w:rsidRPr="00D568C9" w:rsidRDefault="000A1935" w:rsidP="008E11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Business Banking</w:t>
            </w:r>
          </w:p>
        </w:tc>
        <w:tc>
          <w:tcPr>
            <w:tcW w:w="1853" w:type="dxa"/>
          </w:tcPr>
          <w:p w:rsidR="000A1935" w:rsidRPr="00D568C9" w:rsidRDefault="000A1935" w:rsidP="008E11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76%</w:t>
            </w:r>
          </w:p>
        </w:tc>
      </w:tr>
      <w:tr w:rsidR="008E1117" w:rsidRPr="00D568C9" w:rsidTr="005C689B">
        <w:trPr>
          <w:trHeight w:val="308"/>
        </w:trPr>
        <w:tc>
          <w:tcPr>
            <w:tcW w:w="7390" w:type="dxa"/>
          </w:tcPr>
          <w:p w:rsidR="008E1117" w:rsidRPr="00D568C9" w:rsidRDefault="008E1117" w:rsidP="008E1117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D568C9">
              <w:rPr>
                <w:rFonts w:ascii="Times New Roman" w:hAnsi="Times New Roman"/>
                <w:sz w:val="24"/>
                <w:szCs w:val="24"/>
              </w:rPr>
              <w:t xml:space="preserve">NRI Banking  </w:t>
            </w:r>
          </w:p>
        </w:tc>
        <w:tc>
          <w:tcPr>
            <w:tcW w:w="1853" w:type="dxa"/>
          </w:tcPr>
          <w:p w:rsidR="008E1117" w:rsidRPr="00D568C9" w:rsidRDefault="003F4BC2" w:rsidP="008E1117">
            <w:pPr>
              <w:rPr>
                <w:rFonts w:ascii="Times New Roman" w:hAnsi="Times New Roman"/>
                <w:sz w:val="24"/>
                <w:szCs w:val="24"/>
              </w:rPr>
            </w:pPr>
            <w:r w:rsidRPr="00D568C9">
              <w:rPr>
                <w:rFonts w:ascii="Times New Roman" w:hAnsi="Times New Roman"/>
                <w:sz w:val="24"/>
                <w:szCs w:val="24"/>
              </w:rPr>
              <w:t>7</w:t>
            </w:r>
            <w:r w:rsidR="00420F11" w:rsidRPr="00D568C9">
              <w:rPr>
                <w:rFonts w:ascii="Times New Roman" w:hAnsi="Times New Roman"/>
                <w:sz w:val="24"/>
                <w:szCs w:val="24"/>
              </w:rPr>
              <w:t>6</w:t>
            </w:r>
            <w:r w:rsidR="0074220C" w:rsidRPr="00D568C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8E1117" w:rsidRPr="00D568C9" w:rsidTr="005C689B">
        <w:trPr>
          <w:trHeight w:val="183"/>
        </w:trPr>
        <w:tc>
          <w:tcPr>
            <w:tcW w:w="7390" w:type="dxa"/>
          </w:tcPr>
          <w:p w:rsidR="008E1117" w:rsidRPr="00D568C9" w:rsidRDefault="000A1935" w:rsidP="008E11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Wealth Management and Financial Planning</w:t>
            </w:r>
          </w:p>
        </w:tc>
        <w:tc>
          <w:tcPr>
            <w:tcW w:w="1853" w:type="dxa"/>
          </w:tcPr>
          <w:p w:rsidR="008E1117" w:rsidRPr="00D568C9" w:rsidRDefault="000A1935" w:rsidP="008E11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  <w:r w:rsidR="005862F3" w:rsidRPr="00D568C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09783E" w:rsidRPr="00D568C9" w:rsidTr="005C689B">
        <w:trPr>
          <w:trHeight w:val="295"/>
        </w:trPr>
        <w:tc>
          <w:tcPr>
            <w:tcW w:w="7390" w:type="dxa"/>
          </w:tcPr>
          <w:p w:rsidR="0009783E" w:rsidRPr="00D568C9" w:rsidRDefault="000A1935" w:rsidP="008E1117">
            <w:pPr>
              <w:rPr>
                <w:rFonts w:ascii="Times New Roman" w:hAnsi="Times New Roman"/>
                <w:sz w:val="24"/>
                <w:szCs w:val="24"/>
              </w:rPr>
            </w:pPr>
            <w:r w:rsidRPr="00D568C9">
              <w:rPr>
                <w:rFonts w:ascii="Times New Roman" w:hAnsi="Times New Roman"/>
                <w:sz w:val="24"/>
                <w:szCs w:val="24"/>
              </w:rPr>
              <w:t xml:space="preserve">New Age Banking  </w:t>
            </w:r>
          </w:p>
        </w:tc>
        <w:tc>
          <w:tcPr>
            <w:tcW w:w="1853" w:type="dxa"/>
          </w:tcPr>
          <w:p w:rsidR="0009783E" w:rsidRPr="00D568C9" w:rsidRDefault="000A1935" w:rsidP="007422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  <w:r w:rsidR="0009783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1D16E1" w:rsidRPr="00D568C9" w:rsidTr="005C689B">
        <w:trPr>
          <w:trHeight w:val="295"/>
        </w:trPr>
        <w:tc>
          <w:tcPr>
            <w:tcW w:w="7390" w:type="dxa"/>
          </w:tcPr>
          <w:p w:rsidR="001D16E1" w:rsidRPr="00D568C9" w:rsidRDefault="001D16E1" w:rsidP="008E11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Core Banking Solution (Finacel)</w:t>
            </w:r>
          </w:p>
        </w:tc>
        <w:tc>
          <w:tcPr>
            <w:tcW w:w="1853" w:type="dxa"/>
          </w:tcPr>
          <w:p w:rsidR="001D16E1" w:rsidRDefault="005A57FD" w:rsidP="007422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80%</w:t>
            </w:r>
          </w:p>
        </w:tc>
      </w:tr>
      <w:tr w:rsidR="005C689B" w:rsidRPr="00D568C9" w:rsidTr="005C689B">
        <w:trPr>
          <w:trHeight w:val="295"/>
        </w:trPr>
        <w:tc>
          <w:tcPr>
            <w:tcW w:w="7390" w:type="dxa"/>
          </w:tcPr>
          <w:p w:rsidR="005C689B" w:rsidRDefault="005C689B" w:rsidP="008E11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Management of Banks</w:t>
            </w:r>
          </w:p>
        </w:tc>
        <w:tc>
          <w:tcPr>
            <w:tcW w:w="1853" w:type="dxa"/>
          </w:tcPr>
          <w:p w:rsidR="005C689B" w:rsidRDefault="005C689B" w:rsidP="007422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84%</w:t>
            </w:r>
          </w:p>
        </w:tc>
      </w:tr>
      <w:tr w:rsidR="008E1117" w:rsidRPr="00D568C9" w:rsidTr="005C689B">
        <w:trPr>
          <w:trHeight w:val="295"/>
        </w:trPr>
        <w:tc>
          <w:tcPr>
            <w:tcW w:w="7390" w:type="dxa"/>
          </w:tcPr>
          <w:p w:rsidR="008E1117" w:rsidRPr="00D568C9" w:rsidRDefault="008E1117" w:rsidP="008E1117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D568C9">
              <w:rPr>
                <w:rFonts w:ascii="Times New Roman" w:hAnsi="Times New Roman"/>
                <w:sz w:val="24"/>
                <w:szCs w:val="24"/>
              </w:rPr>
              <w:t xml:space="preserve">Accounting and Financial Mathematics for Bankers  </w:t>
            </w:r>
          </w:p>
        </w:tc>
        <w:tc>
          <w:tcPr>
            <w:tcW w:w="1853" w:type="dxa"/>
          </w:tcPr>
          <w:p w:rsidR="008E1117" w:rsidRPr="00D568C9" w:rsidRDefault="00420F11" w:rsidP="0074220C">
            <w:pPr>
              <w:rPr>
                <w:rFonts w:ascii="Times New Roman" w:hAnsi="Times New Roman"/>
                <w:sz w:val="24"/>
                <w:szCs w:val="24"/>
              </w:rPr>
            </w:pPr>
            <w:r w:rsidRPr="00D568C9">
              <w:rPr>
                <w:rFonts w:ascii="Times New Roman" w:hAnsi="Times New Roman"/>
                <w:sz w:val="24"/>
                <w:szCs w:val="24"/>
              </w:rPr>
              <w:t>76</w:t>
            </w:r>
            <w:r w:rsidR="00126CAB" w:rsidRPr="00D568C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1507A2" w:rsidRPr="00D568C9" w:rsidTr="005C689B">
        <w:trPr>
          <w:trHeight w:val="1769"/>
        </w:trPr>
        <w:tc>
          <w:tcPr>
            <w:tcW w:w="7390" w:type="dxa"/>
          </w:tcPr>
          <w:p w:rsidR="001507A2" w:rsidRPr="00D568C9" w:rsidRDefault="001507A2" w:rsidP="008E1117">
            <w:pPr>
              <w:rPr>
                <w:rFonts w:ascii="Times New Roman" w:hAnsi="Times New Roman"/>
                <w:sz w:val="24"/>
                <w:szCs w:val="24"/>
              </w:rPr>
            </w:pPr>
            <w:r w:rsidRPr="00D568C9">
              <w:rPr>
                <w:rFonts w:ascii="Times New Roman" w:hAnsi="Times New Roman"/>
                <w:sz w:val="24"/>
                <w:szCs w:val="24"/>
              </w:rPr>
              <w:t xml:space="preserve">Economic Times </w:t>
            </w:r>
            <w:proofErr w:type="spellStart"/>
            <w:r w:rsidRPr="00D568C9">
              <w:rPr>
                <w:rFonts w:ascii="Times New Roman" w:hAnsi="Times New Roman"/>
                <w:sz w:val="24"/>
                <w:szCs w:val="24"/>
              </w:rPr>
              <w:t>FinPro</w:t>
            </w:r>
            <w:proofErr w:type="spellEnd"/>
          </w:p>
          <w:p w:rsidR="001507A2" w:rsidRPr="00D568C9" w:rsidRDefault="001507A2" w:rsidP="00CD1534">
            <w:pPr>
              <w:rPr>
                <w:rFonts w:ascii="Times New Roman" w:hAnsi="Times New Roman"/>
                <w:sz w:val="24"/>
                <w:szCs w:val="24"/>
              </w:rPr>
            </w:pPr>
            <w:r w:rsidRPr="00D568C9">
              <w:rPr>
                <w:rFonts w:ascii="Times New Roman" w:hAnsi="Times New Roman"/>
                <w:sz w:val="24"/>
                <w:szCs w:val="24"/>
              </w:rPr>
              <w:t>GDP, Business Cycles, Inflation, Interest Rates, Monetary Policy, Fiscal Policy, Mutual Funds and Hedge Fund</w:t>
            </w:r>
            <w:r>
              <w:rPr>
                <w:rFonts w:ascii="Times New Roman" w:hAnsi="Times New Roman"/>
                <w:sz w:val="24"/>
                <w:szCs w:val="24"/>
              </w:rPr>
              <w:t>s, PPF, NSC, POMIS, RGESS, NPS, Investor Life Cycle, Financial Goals, Saving Pattern Changes, Income Tax, Capital Gains Tax, Dividend Distribution Tax for MFS.</w:t>
            </w:r>
          </w:p>
        </w:tc>
        <w:tc>
          <w:tcPr>
            <w:tcW w:w="1853" w:type="dxa"/>
          </w:tcPr>
          <w:p w:rsidR="001507A2" w:rsidRPr="00D568C9" w:rsidRDefault="001507A2" w:rsidP="008E1117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B616B5" w:rsidRDefault="00B616B5" w:rsidP="0074220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616B5" w:rsidRDefault="00B616B5" w:rsidP="0074220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616B5" w:rsidRDefault="00B616B5" w:rsidP="0074220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616B5" w:rsidRDefault="00B616B5" w:rsidP="0074220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800F6" w:rsidRPr="008655C7" w:rsidRDefault="00B616B5" w:rsidP="0074220C">
      <w:pPr>
        <w:rPr>
          <w:rFonts w:ascii="Times New Roman" w:hAnsi="Times New Roman"/>
          <w:b/>
          <w:sz w:val="24"/>
          <w:szCs w:val="24"/>
          <w:u w:val="single"/>
        </w:rPr>
      </w:pPr>
      <w:r w:rsidRPr="00B616B5"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  <w:r w:rsidR="00D800F6" w:rsidRPr="008655C7">
        <w:rPr>
          <w:rFonts w:ascii="Times New Roman" w:hAnsi="Times New Roman"/>
          <w:b/>
          <w:sz w:val="24"/>
          <w:szCs w:val="24"/>
          <w:u w:val="single"/>
        </w:rPr>
        <w:t>Academic Credentials</w:t>
      </w:r>
    </w:p>
    <w:p w:rsidR="004809F6" w:rsidRPr="004809F6" w:rsidRDefault="004809F6" w:rsidP="0074220C">
      <w:pPr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859"/>
        <w:gridCol w:w="1460"/>
        <w:gridCol w:w="1926"/>
        <w:gridCol w:w="2259"/>
        <w:gridCol w:w="1739"/>
      </w:tblGrid>
      <w:tr w:rsidR="000635FA" w:rsidRPr="00D568C9" w:rsidTr="000B530E">
        <w:trPr>
          <w:trHeight w:val="715"/>
        </w:trPr>
        <w:tc>
          <w:tcPr>
            <w:tcW w:w="2835" w:type="dxa"/>
          </w:tcPr>
          <w:p w:rsidR="000635FA" w:rsidRPr="00D568C9" w:rsidRDefault="000635FA" w:rsidP="000635FA">
            <w:pPr>
              <w:rPr>
                <w:b/>
                <w:sz w:val="24"/>
                <w:szCs w:val="24"/>
              </w:rPr>
            </w:pPr>
            <w:r w:rsidRPr="00D568C9">
              <w:rPr>
                <w:b/>
                <w:sz w:val="24"/>
                <w:szCs w:val="24"/>
              </w:rPr>
              <w:t xml:space="preserve">Qualification </w:t>
            </w:r>
          </w:p>
          <w:p w:rsidR="000635FA" w:rsidRPr="00D568C9" w:rsidRDefault="000635FA" w:rsidP="000635FA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0635FA" w:rsidRPr="00D568C9" w:rsidRDefault="000635FA" w:rsidP="0074220C">
            <w:pPr>
              <w:rPr>
                <w:b/>
                <w:sz w:val="24"/>
                <w:szCs w:val="24"/>
              </w:rPr>
            </w:pPr>
            <w:r w:rsidRPr="00D568C9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518" w:type="dxa"/>
          </w:tcPr>
          <w:p w:rsidR="000635FA" w:rsidRPr="00D568C9" w:rsidRDefault="000635FA" w:rsidP="000635FA">
            <w:pPr>
              <w:rPr>
                <w:b/>
                <w:sz w:val="24"/>
                <w:szCs w:val="24"/>
              </w:rPr>
            </w:pPr>
            <w:r w:rsidRPr="00D568C9">
              <w:rPr>
                <w:b/>
                <w:sz w:val="24"/>
                <w:szCs w:val="24"/>
              </w:rPr>
              <w:t xml:space="preserve">School/College </w:t>
            </w:r>
          </w:p>
        </w:tc>
        <w:tc>
          <w:tcPr>
            <w:tcW w:w="3152" w:type="dxa"/>
          </w:tcPr>
          <w:p w:rsidR="000635FA" w:rsidRPr="00D568C9" w:rsidRDefault="000635FA" w:rsidP="0074220C">
            <w:pPr>
              <w:rPr>
                <w:b/>
                <w:sz w:val="24"/>
                <w:szCs w:val="24"/>
              </w:rPr>
            </w:pPr>
            <w:r w:rsidRPr="00D568C9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2835" w:type="dxa"/>
          </w:tcPr>
          <w:p w:rsidR="000635FA" w:rsidRPr="00D568C9" w:rsidRDefault="000635FA" w:rsidP="0074220C">
            <w:pPr>
              <w:rPr>
                <w:b/>
                <w:sz w:val="24"/>
                <w:szCs w:val="24"/>
              </w:rPr>
            </w:pPr>
            <w:r w:rsidRPr="00D568C9">
              <w:rPr>
                <w:b/>
                <w:sz w:val="24"/>
                <w:szCs w:val="24"/>
              </w:rPr>
              <w:t>Percentage</w:t>
            </w:r>
          </w:p>
        </w:tc>
      </w:tr>
      <w:tr w:rsidR="000635FA" w:rsidRPr="00D568C9" w:rsidTr="000B530E">
        <w:trPr>
          <w:trHeight w:val="802"/>
        </w:trPr>
        <w:tc>
          <w:tcPr>
            <w:tcW w:w="2835" w:type="dxa"/>
          </w:tcPr>
          <w:p w:rsidR="000635FA" w:rsidRPr="00D568C9" w:rsidRDefault="000635FA" w:rsidP="000635FA">
            <w:pPr>
              <w:rPr>
                <w:b/>
                <w:sz w:val="24"/>
                <w:szCs w:val="24"/>
              </w:rPr>
            </w:pPr>
            <w:proofErr w:type="spellStart"/>
            <w:r w:rsidRPr="00D568C9">
              <w:rPr>
                <w:b/>
                <w:sz w:val="24"/>
                <w:szCs w:val="24"/>
              </w:rPr>
              <w:t>Xth</w:t>
            </w:r>
            <w:proofErr w:type="spellEnd"/>
          </w:p>
        </w:tc>
        <w:tc>
          <w:tcPr>
            <w:tcW w:w="2835" w:type="dxa"/>
          </w:tcPr>
          <w:p w:rsidR="000635FA" w:rsidRPr="00D568C9" w:rsidRDefault="00420F11" w:rsidP="0074220C">
            <w:pPr>
              <w:rPr>
                <w:sz w:val="24"/>
                <w:szCs w:val="24"/>
              </w:rPr>
            </w:pPr>
            <w:r w:rsidRPr="00D568C9">
              <w:rPr>
                <w:sz w:val="24"/>
                <w:szCs w:val="24"/>
              </w:rPr>
              <w:t>200</w:t>
            </w:r>
            <w:r w:rsidR="003F4BC2" w:rsidRPr="00D568C9">
              <w:rPr>
                <w:sz w:val="24"/>
                <w:szCs w:val="24"/>
              </w:rPr>
              <w:t>6</w:t>
            </w:r>
          </w:p>
        </w:tc>
        <w:tc>
          <w:tcPr>
            <w:tcW w:w="2518" w:type="dxa"/>
          </w:tcPr>
          <w:p w:rsidR="000635FA" w:rsidRPr="00D568C9" w:rsidRDefault="003F4BC2" w:rsidP="003F4BC2">
            <w:pPr>
              <w:rPr>
                <w:sz w:val="24"/>
                <w:szCs w:val="24"/>
              </w:rPr>
            </w:pPr>
            <w:proofErr w:type="spellStart"/>
            <w:r w:rsidRPr="00D568C9">
              <w:rPr>
                <w:sz w:val="24"/>
                <w:szCs w:val="24"/>
              </w:rPr>
              <w:t>Sardar</w:t>
            </w:r>
            <w:proofErr w:type="spellEnd"/>
            <w:r w:rsidRPr="00D568C9">
              <w:rPr>
                <w:sz w:val="24"/>
                <w:szCs w:val="24"/>
              </w:rPr>
              <w:t xml:space="preserve"> Senior </w:t>
            </w:r>
            <w:r w:rsidR="000B530E" w:rsidRPr="00D568C9">
              <w:rPr>
                <w:sz w:val="24"/>
                <w:szCs w:val="24"/>
              </w:rPr>
              <w:t>secondary School</w:t>
            </w:r>
            <w:r w:rsidRPr="00D568C9">
              <w:rPr>
                <w:sz w:val="24"/>
                <w:szCs w:val="24"/>
              </w:rPr>
              <w:t xml:space="preserve"> Jodhpur</w:t>
            </w:r>
          </w:p>
        </w:tc>
        <w:tc>
          <w:tcPr>
            <w:tcW w:w="3152" w:type="dxa"/>
          </w:tcPr>
          <w:p w:rsidR="000635FA" w:rsidRPr="00D568C9" w:rsidRDefault="00E6048B" w:rsidP="0074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RBSE</w:t>
            </w:r>
          </w:p>
        </w:tc>
        <w:tc>
          <w:tcPr>
            <w:tcW w:w="2835" w:type="dxa"/>
          </w:tcPr>
          <w:p w:rsidR="000635FA" w:rsidRPr="00D568C9" w:rsidRDefault="003F4BC2" w:rsidP="000635FA">
            <w:pPr>
              <w:rPr>
                <w:sz w:val="24"/>
                <w:szCs w:val="24"/>
              </w:rPr>
            </w:pPr>
            <w:r w:rsidRPr="00D568C9">
              <w:rPr>
                <w:sz w:val="24"/>
                <w:szCs w:val="24"/>
              </w:rPr>
              <w:t>56%</w:t>
            </w:r>
          </w:p>
          <w:p w:rsidR="000635FA" w:rsidRPr="00D568C9" w:rsidRDefault="000635FA" w:rsidP="0074220C">
            <w:pPr>
              <w:rPr>
                <w:sz w:val="24"/>
                <w:szCs w:val="24"/>
              </w:rPr>
            </w:pPr>
          </w:p>
        </w:tc>
      </w:tr>
      <w:tr w:rsidR="000635FA" w:rsidRPr="00D568C9" w:rsidTr="000B530E">
        <w:trPr>
          <w:trHeight w:val="1059"/>
        </w:trPr>
        <w:tc>
          <w:tcPr>
            <w:tcW w:w="2835" w:type="dxa"/>
          </w:tcPr>
          <w:p w:rsidR="00D800F6" w:rsidRPr="00D568C9" w:rsidRDefault="000635FA" w:rsidP="0074220C">
            <w:pPr>
              <w:rPr>
                <w:b/>
                <w:sz w:val="24"/>
                <w:szCs w:val="24"/>
              </w:rPr>
            </w:pPr>
            <w:proofErr w:type="spellStart"/>
            <w:r w:rsidRPr="00D568C9">
              <w:rPr>
                <w:b/>
                <w:sz w:val="24"/>
                <w:szCs w:val="24"/>
              </w:rPr>
              <w:t>XIIth</w:t>
            </w:r>
            <w:proofErr w:type="spellEnd"/>
          </w:p>
          <w:p w:rsidR="000635FA" w:rsidRPr="00D568C9" w:rsidRDefault="003F4BC2" w:rsidP="0074220C">
            <w:pPr>
              <w:rPr>
                <w:b/>
                <w:sz w:val="24"/>
                <w:szCs w:val="24"/>
              </w:rPr>
            </w:pPr>
            <w:r w:rsidRPr="00D568C9">
              <w:rPr>
                <w:b/>
                <w:sz w:val="24"/>
                <w:szCs w:val="24"/>
              </w:rPr>
              <w:t>Science</w:t>
            </w:r>
            <w:bookmarkStart w:id="0" w:name="_GoBack"/>
            <w:bookmarkEnd w:id="0"/>
          </w:p>
        </w:tc>
        <w:tc>
          <w:tcPr>
            <w:tcW w:w="2835" w:type="dxa"/>
          </w:tcPr>
          <w:p w:rsidR="000635FA" w:rsidRPr="00D568C9" w:rsidRDefault="0052214B" w:rsidP="0074220C">
            <w:pPr>
              <w:rPr>
                <w:sz w:val="24"/>
                <w:szCs w:val="24"/>
              </w:rPr>
            </w:pPr>
            <w:r w:rsidRPr="00D568C9">
              <w:rPr>
                <w:sz w:val="24"/>
                <w:szCs w:val="24"/>
              </w:rPr>
              <w:t>20</w:t>
            </w:r>
            <w:r w:rsidR="003F4BC2" w:rsidRPr="00D568C9">
              <w:rPr>
                <w:sz w:val="24"/>
                <w:szCs w:val="24"/>
              </w:rPr>
              <w:t>08</w:t>
            </w:r>
          </w:p>
        </w:tc>
        <w:tc>
          <w:tcPr>
            <w:tcW w:w="2518" w:type="dxa"/>
          </w:tcPr>
          <w:p w:rsidR="000635FA" w:rsidRPr="00D568C9" w:rsidRDefault="003F4BC2" w:rsidP="0074220C">
            <w:pPr>
              <w:rPr>
                <w:sz w:val="24"/>
                <w:szCs w:val="24"/>
              </w:rPr>
            </w:pPr>
            <w:proofErr w:type="spellStart"/>
            <w:r w:rsidRPr="00D568C9">
              <w:rPr>
                <w:sz w:val="24"/>
                <w:szCs w:val="24"/>
              </w:rPr>
              <w:t>Sardar</w:t>
            </w:r>
            <w:r w:rsidR="000635FA" w:rsidRPr="00D568C9">
              <w:rPr>
                <w:sz w:val="24"/>
                <w:szCs w:val="24"/>
              </w:rPr>
              <w:t>sen</w:t>
            </w:r>
            <w:r w:rsidR="000B530E" w:rsidRPr="00D568C9">
              <w:rPr>
                <w:sz w:val="24"/>
                <w:szCs w:val="24"/>
              </w:rPr>
              <w:t>ior</w:t>
            </w:r>
            <w:proofErr w:type="spellEnd"/>
            <w:r w:rsidR="000B530E" w:rsidRPr="00D568C9">
              <w:rPr>
                <w:sz w:val="24"/>
                <w:szCs w:val="24"/>
              </w:rPr>
              <w:t xml:space="preserve"> secondary </w:t>
            </w:r>
            <w:r w:rsidRPr="00D568C9">
              <w:rPr>
                <w:sz w:val="24"/>
                <w:szCs w:val="24"/>
              </w:rPr>
              <w:t>school, Jodhpur</w:t>
            </w:r>
          </w:p>
        </w:tc>
        <w:tc>
          <w:tcPr>
            <w:tcW w:w="3152" w:type="dxa"/>
          </w:tcPr>
          <w:p w:rsidR="000635FA" w:rsidRPr="00D568C9" w:rsidRDefault="003F4BC2" w:rsidP="0074220C">
            <w:pPr>
              <w:rPr>
                <w:sz w:val="24"/>
                <w:szCs w:val="24"/>
              </w:rPr>
            </w:pPr>
            <w:r w:rsidRPr="00D568C9">
              <w:rPr>
                <w:sz w:val="24"/>
                <w:szCs w:val="24"/>
              </w:rPr>
              <w:t>RBSE</w:t>
            </w:r>
          </w:p>
        </w:tc>
        <w:tc>
          <w:tcPr>
            <w:tcW w:w="2835" w:type="dxa"/>
          </w:tcPr>
          <w:p w:rsidR="000635FA" w:rsidRPr="00D568C9" w:rsidRDefault="003F4BC2" w:rsidP="0074220C">
            <w:pPr>
              <w:rPr>
                <w:sz w:val="24"/>
                <w:szCs w:val="24"/>
              </w:rPr>
            </w:pPr>
            <w:r w:rsidRPr="00D568C9">
              <w:rPr>
                <w:sz w:val="24"/>
                <w:szCs w:val="24"/>
              </w:rPr>
              <w:t>50</w:t>
            </w:r>
            <w:r w:rsidR="000635FA" w:rsidRPr="00D568C9">
              <w:rPr>
                <w:sz w:val="24"/>
                <w:szCs w:val="24"/>
              </w:rPr>
              <w:t>%</w:t>
            </w:r>
          </w:p>
        </w:tc>
      </w:tr>
      <w:tr w:rsidR="000635FA" w:rsidRPr="00D568C9" w:rsidTr="000B530E">
        <w:trPr>
          <w:trHeight w:val="924"/>
        </w:trPr>
        <w:tc>
          <w:tcPr>
            <w:tcW w:w="2835" w:type="dxa"/>
          </w:tcPr>
          <w:p w:rsidR="000635FA" w:rsidRPr="00D568C9" w:rsidRDefault="000635FA" w:rsidP="0074220C">
            <w:pPr>
              <w:rPr>
                <w:b/>
                <w:sz w:val="24"/>
                <w:szCs w:val="24"/>
              </w:rPr>
            </w:pPr>
            <w:r w:rsidRPr="00D568C9">
              <w:rPr>
                <w:b/>
                <w:sz w:val="24"/>
                <w:szCs w:val="24"/>
              </w:rPr>
              <w:t xml:space="preserve">Graduation </w:t>
            </w:r>
          </w:p>
          <w:p w:rsidR="000635FA" w:rsidRPr="00D568C9" w:rsidRDefault="003F4BC2" w:rsidP="0074220C">
            <w:pPr>
              <w:rPr>
                <w:b/>
                <w:sz w:val="24"/>
                <w:szCs w:val="24"/>
              </w:rPr>
            </w:pPr>
            <w:proofErr w:type="spellStart"/>
            <w:r w:rsidRPr="00D568C9">
              <w:rPr>
                <w:b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2835" w:type="dxa"/>
          </w:tcPr>
          <w:p w:rsidR="000635FA" w:rsidRPr="00D568C9" w:rsidRDefault="0052214B" w:rsidP="0074220C">
            <w:pPr>
              <w:rPr>
                <w:sz w:val="24"/>
                <w:szCs w:val="24"/>
              </w:rPr>
            </w:pPr>
            <w:r w:rsidRPr="00D568C9">
              <w:rPr>
                <w:sz w:val="24"/>
                <w:szCs w:val="24"/>
              </w:rPr>
              <w:t>201</w:t>
            </w:r>
            <w:r w:rsidR="003F4BC2" w:rsidRPr="00D568C9">
              <w:rPr>
                <w:sz w:val="24"/>
                <w:szCs w:val="24"/>
              </w:rPr>
              <w:t>2</w:t>
            </w:r>
          </w:p>
        </w:tc>
        <w:tc>
          <w:tcPr>
            <w:tcW w:w="2518" w:type="dxa"/>
          </w:tcPr>
          <w:p w:rsidR="000635FA" w:rsidRPr="00D568C9" w:rsidRDefault="003F4BC2" w:rsidP="0074220C">
            <w:pPr>
              <w:rPr>
                <w:sz w:val="24"/>
                <w:szCs w:val="24"/>
              </w:rPr>
            </w:pPr>
            <w:r w:rsidRPr="00D568C9">
              <w:rPr>
                <w:sz w:val="24"/>
                <w:szCs w:val="24"/>
              </w:rPr>
              <w:t xml:space="preserve">S.L.B.S </w:t>
            </w:r>
            <w:proofErr w:type="spellStart"/>
            <w:r w:rsidRPr="00D568C9">
              <w:rPr>
                <w:sz w:val="24"/>
                <w:szCs w:val="24"/>
              </w:rPr>
              <w:t>Engg</w:t>
            </w:r>
            <w:proofErr w:type="spellEnd"/>
            <w:r w:rsidRPr="00D568C9">
              <w:rPr>
                <w:sz w:val="24"/>
                <w:szCs w:val="24"/>
              </w:rPr>
              <w:t xml:space="preserve">. College Jodhpur </w:t>
            </w:r>
          </w:p>
        </w:tc>
        <w:tc>
          <w:tcPr>
            <w:tcW w:w="3152" w:type="dxa"/>
          </w:tcPr>
          <w:p w:rsidR="000635FA" w:rsidRPr="00D568C9" w:rsidRDefault="00E13434" w:rsidP="003F4BC2">
            <w:pPr>
              <w:rPr>
                <w:sz w:val="24"/>
                <w:szCs w:val="24"/>
              </w:rPr>
            </w:pPr>
            <w:r w:rsidRPr="00D568C9">
              <w:rPr>
                <w:sz w:val="24"/>
                <w:szCs w:val="24"/>
              </w:rPr>
              <w:t>Rajasthan</w:t>
            </w:r>
            <w:r w:rsidR="003F4BC2" w:rsidRPr="00D568C9">
              <w:rPr>
                <w:sz w:val="24"/>
                <w:szCs w:val="24"/>
              </w:rPr>
              <w:t xml:space="preserve"> Technical</w:t>
            </w:r>
            <w:r w:rsidRPr="00D568C9">
              <w:rPr>
                <w:sz w:val="24"/>
                <w:szCs w:val="24"/>
              </w:rPr>
              <w:t xml:space="preserve"> University </w:t>
            </w:r>
            <w:r w:rsidR="003F4BC2" w:rsidRPr="00D568C9">
              <w:rPr>
                <w:sz w:val="24"/>
                <w:szCs w:val="24"/>
              </w:rPr>
              <w:t>Kota</w:t>
            </w:r>
          </w:p>
        </w:tc>
        <w:tc>
          <w:tcPr>
            <w:tcW w:w="2835" w:type="dxa"/>
          </w:tcPr>
          <w:p w:rsidR="000635FA" w:rsidRPr="00D568C9" w:rsidRDefault="003F4BC2" w:rsidP="0074220C">
            <w:pPr>
              <w:rPr>
                <w:sz w:val="24"/>
                <w:szCs w:val="24"/>
              </w:rPr>
            </w:pPr>
            <w:r w:rsidRPr="00D568C9">
              <w:rPr>
                <w:sz w:val="24"/>
                <w:szCs w:val="24"/>
              </w:rPr>
              <w:t>68</w:t>
            </w:r>
            <w:r w:rsidR="00A00E2E" w:rsidRPr="00D568C9">
              <w:rPr>
                <w:sz w:val="24"/>
                <w:szCs w:val="24"/>
              </w:rPr>
              <w:t>%</w:t>
            </w:r>
          </w:p>
        </w:tc>
      </w:tr>
    </w:tbl>
    <w:p w:rsidR="000635FA" w:rsidRPr="00D568C9" w:rsidRDefault="000635FA" w:rsidP="0074220C">
      <w:pPr>
        <w:rPr>
          <w:sz w:val="24"/>
          <w:szCs w:val="24"/>
        </w:rPr>
      </w:pPr>
    </w:p>
    <w:p w:rsidR="00F242A6" w:rsidRPr="00D568C9" w:rsidRDefault="00F242A6" w:rsidP="0074220C">
      <w:pPr>
        <w:rPr>
          <w:rFonts w:ascii="Times New Roman" w:hAnsi="Times New Roman"/>
          <w:sz w:val="24"/>
          <w:szCs w:val="24"/>
        </w:rPr>
      </w:pPr>
      <w:r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ab/>
      </w:r>
      <w:r w:rsidRPr="00D568C9">
        <w:rPr>
          <w:rFonts w:ascii="Times New Roman" w:hAnsi="Times New Roman"/>
          <w:sz w:val="24"/>
          <w:szCs w:val="24"/>
        </w:rPr>
        <w:tab/>
      </w:r>
    </w:p>
    <w:p w:rsidR="00F242A6" w:rsidRPr="00D568C9" w:rsidRDefault="00FA1694" w:rsidP="00F242A6">
      <w:pPr>
        <w:rPr>
          <w:rFonts w:ascii="Times New Roman" w:hAnsi="Times New Roman"/>
          <w:sz w:val="24"/>
          <w:szCs w:val="24"/>
        </w:rPr>
      </w:pPr>
      <w:r w:rsidRPr="00FA1694">
        <w:rPr>
          <w:rFonts w:ascii="Times New Roman" w:hAnsi="Times New Roman"/>
          <w:b/>
          <w:noProof/>
          <w:color w:val="000000" w:themeColor="text1"/>
          <w:sz w:val="24"/>
          <w:szCs w:val="24"/>
          <w:lang w:val="en-US"/>
        </w:rPr>
        <w:pict>
          <v:rect id="Rectangle 4" o:spid="_x0000_s1026" style="position:absolute;margin-left:60.7pt;margin-top:2.6pt;width:7.5pt;height: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" fillcolor="white [3212]" strokecolor="#1f4d78 [1604]" strokeweight="1pt">
            <v:path arrowok="t"/>
          </v:rect>
        </w:pict>
      </w:r>
      <w:r w:rsidR="00F242A6" w:rsidRPr="00D568C9">
        <w:rPr>
          <w:rFonts w:ascii="Times New Roman" w:hAnsi="Times New Roman"/>
          <w:b/>
          <w:sz w:val="24"/>
          <w:szCs w:val="24"/>
        </w:rPr>
        <w:tab/>
      </w:r>
      <w:r w:rsidR="00F242A6" w:rsidRPr="00D568C9">
        <w:rPr>
          <w:rFonts w:ascii="Times New Roman" w:hAnsi="Times New Roman"/>
          <w:b/>
          <w:sz w:val="24"/>
          <w:szCs w:val="24"/>
        </w:rPr>
        <w:tab/>
      </w:r>
      <w:r w:rsidR="00F242A6" w:rsidRPr="00D568C9">
        <w:rPr>
          <w:rFonts w:ascii="Times New Roman" w:hAnsi="Times New Roman"/>
          <w:sz w:val="24"/>
          <w:szCs w:val="24"/>
        </w:rPr>
        <w:t xml:space="preserve">I hereby declare that all the above statements are true and complete to the best of my knowledge.   </w:t>
      </w:r>
    </w:p>
    <w:p w:rsidR="00864682" w:rsidRPr="00D568C9" w:rsidRDefault="00864682" w:rsidP="00F242A6">
      <w:pPr>
        <w:rPr>
          <w:rFonts w:ascii="Times New Roman" w:hAnsi="Times New Roman"/>
          <w:sz w:val="24"/>
          <w:szCs w:val="24"/>
        </w:rPr>
      </w:pPr>
    </w:p>
    <w:p w:rsidR="00864682" w:rsidRPr="00D568C9" w:rsidRDefault="00864682" w:rsidP="00F242A6">
      <w:pPr>
        <w:rPr>
          <w:rFonts w:ascii="Times New Roman" w:hAnsi="Times New Roman"/>
          <w:sz w:val="24"/>
          <w:szCs w:val="24"/>
        </w:rPr>
      </w:pPr>
    </w:p>
    <w:p w:rsidR="00864682" w:rsidRPr="00D568C9" w:rsidRDefault="00864682" w:rsidP="00F242A6">
      <w:pPr>
        <w:rPr>
          <w:rFonts w:ascii="Times New Roman" w:hAnsi="Times New Roman"/>
          <w:sz w:val="24"/>
          <w:szCs w:val="24"/>
        </w:rPr>
      </w:pPr>
    </w:p>
    <w:p w:rsidR="00F242A6" w:rsidRPr="00D568C9" w:rsidRDefault="00F242A6" w:rsidP="00F242A6">
      <w:pPr>
        <w:rPr>
          <w:rFonts w:ascii="Times New Roman" w:hAnsi="Times New Roman"/>
          <w:sz w:val="24"/>
          <w:szCs w:val="24"/>
        </w:rPr>
      </w:pPr>
      <w:r w:rsidRPr="00D568C9">
        <w:rPr>
          <w:rFonts w:ascii="Times New Roman" w:hAnsi="Times New Roman"/>
          <w:sz w:val="24"/>
          <w:szCs w:val="24"/>
        </w:rPr>
        <w:t xml:space="preserve">Date:  </w:t>
      </w:r>
      <w:r w:rsidR="00B616B5">
        <w:rPr>
          <w:rFonts w:ascii="Times New Roman" w:hAnsi="Times New Roman"/>
          <w:sz w:val="24"/>
          <w:szCs w:val="24"/>
        </w:rPr>
        <w:t>02/03</w:t>
      </w:r>
      <w:r w:rsidR="00583D8A">
        <w:rPr>
          <w:rFonts w:ascii="Times New Roman" w:hAnsi="Times New Roman"/>
          <w:sz w:val="24"/>
          <w:szCs w:val="24"/>
        </w:rPr>
        <w:t>/2015</w:t>
      </w:r>
    </w:p>
    <w:p w:rsidR="00F242A6" w:rsidRPr="00D568C9" w:rsidRDefault="00B063BA" w:rsidP="00F242A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  Jaipur</w:t>
      </w:r>
      <w:r w:rsidR="0009783E">
        <w:rPr>
          <w:rFonts w:ascii="Times New Roman" w:hAnsi="Times New Roman"/>
          <w:sz w:val="24"/>
          <w:szCs w:val="24"/>
        </w:rPr>
        <w:tab/>
      </w:r>
      <w:r w:rsidR="0009783E">
        <w:rPr>
          <w:rFonts w:ascii="Times New Roman" w:hAnsi="Times New Roman"/>
          <w:sz w:val="24"/>
          <w:szCs w:val="24"/>
        </w:rPr>
        <w:tab/>
      </w:r>
      <w:r w:rsidR="0009783E">
        <w:rPr>
          <w:rFonts w:ascii="Times New Roman" w:hAnsi="Times New Roman"/>
          <w:sz w:val="24"/>
          <w:szCs w:val="24"/>
        </w:rPr>
        <w:tab/>
      </w:r>
      <w:r w:rsidR="0009783E">
        <w:rPr>
          <w:rFonts w:ascii="Times New Roman" w:hAnsi="Times New Roman"/>
          <w:sz w:val="24"/>
          <w:szCs w:val="24"/>
        </w:rPr>
        <w:tab/>
      </w:r>
      <w:r w:rsidR="0009783E">
        <w:rPr>
          <w:rFonts w:ascii="Times New Roman" w:hAnsi="Times New Roman"/>
          <w:sz w:val="24"/>
          <w:szCs w:val="24"/>
        </w:rPr>
        <w:tab/>
      </w:r>
      <w:r w:rsidR="0009783E">
        <w:rPr>
          <w:rFonts w:ascii="Times New Roman" w:hAnsi="Times New Roman"/>
          <w:sz w:val="24"/>
          <w:szCs w:val="24"/>
        </w:rPr>
        <w:tab/>
      </w:r>
      <w:r w:rsidR="00F242A6" w:rsidRPr="00D568C9">
        <w:rPr>
          <w:rFonts w:ascii="Times New Roman" w:hAnsi="Times New Roman"/>
          <w:sz w:val="24"/>
          <w:szCs w:val="24"/>
        </w:rPr>
        <w:t>(</w:t>
      </w:r>
      <w:r w:rsidR="003F4BC2" w:rsidRPr="00D568C9">
        <w:rPr>
          <w:rFonts w:ascii="Times New Roman" w:hAnsi="Times New Roman"/>
          <w:sz w:val="24"/>
          <w:szCs w:val="24"/>
        </w:rPr>
        <w:t>Vinay Palgauta</w:t>
      </w:r>
      <w:r w:rsidR="00F242A6" w:rsidRPr="00D568C9">
        <w:rPr>
          <w:rFonts w:ascii="Times New Roman" w:hAnsi="Times New Roman"/>
          <w:sz w:val="24"/>
          <w:szCs w:val="24"/>
        </w:rPr>
        <w:t>)</w:t>
      </w:r>
      <w:r w:rsidR="00F242A6" w:rsidRPr="00D568C9">
        <w:rPr>
          <w:rFonts w:ascii="Times New Roman" w:hAnsi="Times New Roman"/>
          <w:sz w:val="24"/>
          <w:szCs w:val="24"/>
        </w:rPr>
        <w:tab/>
      </w:r>
      <w:r w:rsidR="00F242A6" w:rsidRPr="00D568C9">
        <w:rPr>
          <w:rFonts w:ascii="Times New Roman" w:hAnsi="Times New Roman"/>
          <w:b/>
          <w:sz w:val="24"/>
          <w:szCs w:val="24"/>
        </w:rPr>
        <w:tab/>
      </w:r>
      <w:r w:rsidR="00F242A6" w:rsidRPr="00D568C9">
        <w:rPr>
          <w:rFonts w:ascii="Times New Roman" w:hAnsi="Times New Roman"/>
          <w:b/>
          <w:sz w:val="24"/>
          <w:szCs w:val="24"/>
        </w:rPr>
        <w:tab/>
      </w:r>
    </w:p>
    <w:sectPr w:rsidR="00F242A6" w:rsidRPr="00D568C9" w:rsidSect="00583D8A"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2D2" w:rsidRDefault="007B22D2" w:rsidP="0074220C">
      <w:pPr>
        <w:spacing w:after="0" w:line="240" w:lineRule="auto"/>
      </w:pPr>
      <w:r>
        <w:separator/>
      </w:r>
    </w:p>
  </w:endnote>
  <w:endnote w:type="continuationSeparator" w:id="1">
    <w:p w:rsidR="007B22D2" w:rsidRDefault="007B22D2" w:rsidP="0074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2D2" w:rsidRDefault="007B22D2" w:rsidP="0074220C">
      <w:pPr>
        <w:spacing w:after="0" w:line="240" w:lineRule="auto"/>
      </w:pPr>
      <w:r>
        <w:separator/>
      </w:r>
    </w:p>
  </w:footnote>
  <w:footnote w:type="continuationSeparator" w:id="1">
    <w:p w:rsidR="007B22D2" w:rsidRDefault="007B22D2" w:rsidP="00742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6442"/>
    <w:rsid w:val="000635FA"/>
    <w:rsid w:val="0009783E"/>
    <w:rsid w:val="000A1935"/>
    <w:rsid w:val="000A257B"/>
    <w:rsid w:val="000B530E"/>
    <w:rsid w:val="000F464E"/>
    <w:rsid w:val="00122D24"/>
    <w:rsid w:val="00126CAB"/>
    <w:rsid w:val="001507A2"/>
    <w:rsid w:val="00156C2D"/>
    <w:rsid w:val="001A121F"/>
    <w:rsid w:val="001D16E1"/>
    <w:rsid w:val="002A3FE1"/>
    <w:rsid w:val="002D6442"/>
    <w:rsid w:val="002F7203"/>
    <w:rsid w:val="00311EDE"/>
    <w:rsid w:val="003F4BC2"/>
    <w:rsid w:val="003F4EED"/>
    <w:rsid w:val="0040627D"/>
    <w:rsid w:val="00420F11"/>
    <w:rsid w:val="004332A9"/>
    <w:rsid w:val="00474EC3"/>
    <w:rsid w:val="004809F6"/>
    <w:rsid w:val="004976F9"/>
    <w:rsid w:val="0052214B"/>
    <w:rsid w:val="00583D8A"/>
    <w:rsid w:val="005862F3"/>
    <w:rsid w:val="005A57FD"/>
    <w:rsid w:val="005B4243"/>
    <w:rsid w:val="005C3FA4"/>
    <w:rsid w:val="005C689B"/>
    <w:rsid w:val="00664AEE"/>
    <w:rsid w:val="0068147E"/>
    <w:rsid w:val="00721408"/>
    <w:rsid w:val="0074220C"/>
    <w:rsid w:val="007946B2"/>
    <w:rsid w:val="007A340A"/>
    <w:rsid w:val="007B22D2"/>
    <w:rsid w:val="007C653A"/>
    <w:rsid w:val="007D4B51"/>
    <w:rsid w:val="00824C61"/>
    <w:rsid w:val="00864682"/>
    <w:rsid w:val="008655C7"/>
    <w:rsid w:val="00874707"/>
    <w:rsid w:val="008747C0"/>
    <w:rsid w:val="008E1117"/>
    <w:rsid w:val="009112D1"/>
    <w:rsid w:val="0093172F"/>
    <w:rsid w:val="009C35AC"/>
    <w:rsid w:val="00A00E2E"/>
    <w:rsid w:val="00A507C6"/>
    <w:rsid w:val="00A72B99"/>
    <w:rsid w:val="00AA3E7F"/>
    <w:rsid w:val="00B063BA"/>
    <w:rsid w:val="00B12192"/>
    <w:rsid w:val="00B616B5"/>
    <w:rsid w:val="00BC32E1"/>
    <w:rsid w:val="00C52728"/>
    <w:rsid w:val="00CC6357"/>
    <w:rsid w:val="00CD1534"/>
    <w:rsid w:val="00D568C9"/>
    <w:rsid w:val="00D6235E"/>
    <w:rsid w:val="00D800F6"/>
    <w:rsid w:val="00E022C5"/>
    <w:rsid w:val="00E12D2A"/>
    <w:rsid w:val="00E13434"/>
    <w:rsid w:val="00E1373F"/>
    <w:rsid w:val="00E6048B"/>
    <w:rsid w:val="00E74F14"/>
    <w:rsid w:val="00EF26B5"/>
    <w:rsid w:val="00F14B7F"/>
    <w:rsid w:val="00F242A6"/>
    <w:rsid w:val="00FA1694"/>
    <w:rsid w:val="00FB4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4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6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2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20C"/>
  </w:style>
  <w:style w:type="paragraph" w:styleId="Footer">
    <w:name w:val="footer"/>
    <w:basedOn w:val="Normal"/>
    <w:link w:val="FooterChar"/>
    <w:uiPriority w:val="99"/>
    <w:unhideWhenUsed/>
    <w:rsid w:val="00742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20C"/>
  </w:style>
  <w:style w:type="paragraph" w:styleId="ListParagraph">
    <w:name w:val="List Paragraph"/>
    <w:basedOn w:val="Normal"/>
    <w:uiPriority w:val="34"/>
    <w:qFormat/>
    <w:rsid w:val="00F24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4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6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2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20C"/>
  </w:style>
  <w:style w:type="paragraph" w:styleId="Footer">
    <w:name w:val="footer"/>
    <w:basedOn w:val="Normal"/>
    <w:link w:val="FooterChar"/>
    <w:uiPriority w:val="99"/>
    <w:unhideWhenUsed/>
    <w:rsid w:val="00742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20C"/>
  </w:style>
  <w:style w:type="paragraph" w:styleId="ListParagraph">
    <w:name w:val="List Paragraph"/>
    <w:basedOn w:val="Normal"/>
    <w:uiPriority w:val="34"/>
    <w:qFormat/>
    <w:rsid w:val="00F24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in.vinaypalgauta00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0A5BC-6BB7-4FBC-968A-C3A51483E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india</cp:lastModifiedBy>
  <cp:revision>8</cp:revision>
  <cp:lastPrinted>2015-01-21T13:04:00Z</cp:lastPrinted>
  <dcterms:created xsi:type="dcterms:W3CDTF">2015-02-13T14:40:00Z</dcterms:created>
  <dcterms:modified xsi:type="dcterms:W3CDTF">2015-03-02T08:48:00Z</dcterms:modified>
</cp:coreProperties>
</file>