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001" w:rsidRDefault="00A104B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Name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t>Rahul Totlani</w:t>
      </w:r>
    </w:p>
    <w:p w:rsidR="000B0001" w:rsidRDefault="00A104B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Gender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Male.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Age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22 Years.</w:t>
      </w: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 of Birth</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20-09-1992.</w:t>
      </w: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Father’s Name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Baldev M. Totlani</w:t>
      </w: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Current Location</w:t>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Bandra West , Mumbai</w:t>
      </w:r>
    </w:p>
    <w:p w:rsidR="000B0001" w:rsidRDefault="00D402A6">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Permanent Location</w:t>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 xml:space="preserve">Bandra </w:t>
      </w:r>
      <w:r w:rsidR="00A104B9">
        <w:rPr>
          <w:rFonts w:ascii="Times New Roman" w:eastAsia="Times New Roman" w:hAnsi="Times New Roman" w:cs="Times New Roman"/>
          <w:color w:val="000000"/>
          <w:sz w:val="24"/>
        </w:rPr>
        <w:t>West , Maharashtra</w:t>
      </w: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Email id</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r>
      <w:r w:rsidR="00CD2662">
        <w:rPr>
          <w:rFonts w:ascii="Times New Roman" w:eastAsia="Times New Roman" w:hAnsi="Times New Roman" w:cs="Times New Roman"/>
          <w:color w:val="000000"/>
          <w:sz w:val="24"/>
        </w:rPr>
        <w:t>raahul1435@gmail.com</w:t>
      </w:r>
    </w:p>
    <w:p w:rsidR="000B0001" w:rsidRDefault="000B0001">
      <w:pPr>
        <w:spacing w:before="20" w:after="0" w:line="240" w:lineRule="auto"/>
        <w:rPr>
          <w:rFonts w:ascii="Times New Roman" w:eastAsia="Times New Roman" w:hAnsi="Times New Roman" w:cs="Times New Roman"/>
          <w:b/>
          <w:color w:val="000000"/>
          <w:sz w:val="24"/>
          <w:u w:val="single"/>
        </w:rPr>
      </w:pPr>
    </w:p>
    <w:p w:rsidR="000B0001" w:rsidRDefault="00A104B9">
      <w:pPr>
        <w:spacing w:before="20" w:after="0" w:line="24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PGDBM with TimesPro </w:t>
      </w:r>
    </w:p>
    <w:p w:rsidR="000B0001" w:rsidRDefault="000B0001">
      <w:pPr>
        <w:spacing w:after="0" w:line="240" w:lineRule="auto"/>
        <w:rPr>
          <w:rFonts w:ascii="Times New Roman" w:eastAsia="Times New Roman" w:hAnsi="Times New Roman" w:cs="Times New Roman"/>
          <w:b/>
          <w:color w:val="000000"/>
          <w:sz w:val="24"/>
        </w:rPr>
      </w:pPr>
    </w:p>
    <w:p w:rsidR="000B0001" w:rsidRDefault="00A104B9">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Completed Post Graduate Diploma in Banking Management PGDBM</w:t>
      </w:r>
    </w:p>
    <w:p w:rsidR="000B0001" w:rsidRDefault="000B0001">
      <w:pPr>
        <w:spacing w:after="0" w:line="240" w:lineRule="auto"/>
        <w:rPr>
          <w:rFonts w:ascii="Times New Roman" w:eastAsia="Times New Roman" w:hAnsi="Times New Roman" w:cs="Times New Roman"/>
          <w:b/>
          <w:color w:val="000000"/>
          <w:sz w:val="24"/>
        </w:rPr>
      </w:pPr>
    </w:p>
    <w:p w:rsidR="000B0001" w:rsidRDefault="00A104B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Centre Name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Times Centre for Learning Limited (Times Pro, Goregaon). </w:t>
      </w:r>
    </w:p>
    <w:p w:rsidR="000B0001" w:rsidRDefault="000B0001">
      <w:pPr>
        <w:spacing w:after="0" w:line="240" w:lineRule="auto"/>
        <w:rPr>
          <w:rFonts w:ascii="Times New Roman" w:eastAsia="Times New Roman" w:hAnsi="Times New Roman" w:cs="Times New Roman"/>
          <w:color w:val="000000"/>
          <w:sz w:val="24"/>
        </w:rPr>
      </w:pPr>
    </w:p>
    <w:p w:rsidR="000B0001" w:rsidRDefault="00A104B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Registration Number </w:t>
      </w:r>
      <w:r>
        <w:rPr>
          <w:rFonts w:ascii="Times New Roman" w:eastAsia="Times New Roman" w:hAnsi="Times New Roman" w:cs="Times New Roman"/>
          <w:color w:val="000000"/>
          <w:sz w:val="24"/>
        </w:rPr>
        <w:tab/>
        <w:t>: E13</w:t>
      </w:r>
      <w:r w:rsidR="00D402A6">
        <w:rPr>
          <w:rFonts w:ascii="Times New Roman" w:eastAsia="Times New Roman" w:hAnsi="Times New Roman" w:cs="Times New Roman"/>
          <w:color w:val="000000"/>
          <w:sz w:val="24"/>
        </w:rPr>
        <w:t>CC1081524</w:t>
      </w:r>
      <w:r>
        <w:rPr>
          <w:rFonts w:ascii="Times New Roman" w:eastAsia="Times New Roman" w:hAnsi="Times New Roman" w:cs="Times New Roman"/>
          <w:color w:val="000000"/>
          <w:sz w:val="24"/>
        </w:rPr>
        <w:t>.</w:t>
      </w:r>
    </w:p>
    <w:p w:rsidR="000B0001" w:rsidRDefault="000B0001">
      <w:pPr>
        <w:spacing w:after="0" w:line="240" w:lineRule="auto"/>
        <w:rPr>
          <w:rFonts w:ascii="Times New Roman" w:eastAsia="Times New Roman" w:hAnsi="Times New Roman" w:cs="Times New Roman"/>
          <w:color w:val="000000"/>
          <w:sz w:val="24"/>
        </w:rPr>
      </w:pPr>
    </w:p>
    <w:p w:rsidR="000B0001" w:rsidRDefault="00A104B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Batch Code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MUM01AA0113.</w:t>
      </w:r>
    </w:p>
    <w:p w:rsidR="000B0001" w:rsidRDefault="000B0001">
      <w:pPr>
        <w:spacing w:after="0" w:line="240" w:lineRule="auto"/>
        <w:rPr>
          <w:rFonts w:ascii="Times New Roman" w:eastAsia="Times New Roman" w:hAnsi="Times New Roman" w:cs="Times New Roman"/>
          <w:b/>
          <w:color w:val="000000"/>
          <w:sz w:val="24"/>
        </w:rPr>
      </w:pPr>
    </w:p>
    <w:p w:rsidR="000B0001" w:rsidRDefault="00A104B9">
      <w:pPr>
        <w:spacing w:after="0" w:line="24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Academic Scores </w:t>
      </w:r>
    </w:p>
    <w:p w:rsidR="000B0001" w:rsidRDefault="000B0001">
      <w:pPr>
        <w:spacing w:after="0" w:line="240" w:lineRule="auto"/>
        <w:jc w:val="center"/>
        <w:rPr>
          <w:rFonts w:ascii="Times New Roman" w:eastAsia="Times New Roman" w:hAnsi="Times New Roman" w:cs="Times New Roman"/>
          <w:b/>
          <w:color w:val="000000"/>
          <w:sz w:val="24"/>
          <w:u w:val="single"/>
        </w:rPr>
      </w:pPr>
    </w:p>
    <w:tbl>
      <w:tblPr>
        <w:tblW w:w="0" w:type="auto"/>
        <w:tblInd w:w="93" w:type="dxa"/>
        <w:tblCellMar>
          <w:left w:w="10" w:type="dxa"/>
          <w:right w:w="10" w:type="dxa"/>
        </w:tblCellMar>
        <w:tblLook w:val="0000" w:firstRow="0" w:lastRow="0" w:firstColumn="0" w:lastColumn="0" w:noHBand="0" w:noVBand="0"/>
      </w:tblPr>
      <w:tblGrid>
        <w:gridCol w:w="7528"/>
        <w:gridCol w:w="1621"/>
      </w:tblGrid>
      <w:tr w:rsidR="000B0001">
        <w:tc>
          <w:tcPr>
            <w:tcW w:w="8092" w:type="dxa"/>
            <w:tcBorders>
              <w:top w:val="single" w:sz="8" w:space="0" w:color="000000"/>
              <w:left w:val="single" w:sz="8" w:space="0" w:color="000000"/>
              <w:bottom w:val="single" w:sz="8"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jc w:val="center"/>
            </w:pPr>
            <w:r>
              <w:rPr>
                <w:rFonts w:ascii="Times New Roman" w:eastAsia="Times New Roman" w:hAnsi="Times New Roman" w:cs="Times New Roman"/>
                <w:b/>
                <w:color w:val="000000"/>
                <w:sz w:val="24"/>
              </w:rPr>
              <w:t xml:space="preserve">Subject </w:t>
            </w:r>
          </w:p>
        </w:tc>
        <w:tc>
          <w:tcPr>
            <w:tcW w:w="1664" w:type="dxa"/>
            <w:tcBorders>
              <w:top w:val="single" w:sz="8" w:space="0" w:color="000000"/>
              <w:left w:val="single" w:sz="0" w:space="0" w:color="000000"/>
              <w:bottom w:val="single" w:sz="8" w:space="0" w:color="000000"/>
              <w:right w:val="single" w:sz="8" w:space="0" w:color="000000"/>
            </w:tcBorders>
            <w:shd w:val="clear" w:color="auto" w:fill="auto"/>
            <w:tcMar>
              <w:left w:w="108" w:type="dxa"/>
              <w:right w:w="108" w:type="dxa"/>
            </w:tcMar>
            <w:vAlign w:val="bottom"/>
          </w:tcPr>
          <w:p w:rsidR="000B0001" w:rsidRDefault="00A104B9">
            <w:pPr>
              <w:spacing w:after="0" w:line="240" w:lineRule="auto"/>
              <w:jc w:val="center"/>
            </w:pPr>
            <w:r>
              <w:rPr>
                <w:rFonts w:ascii="Times New Roman" w:eastAsia="Times New Roman" w:hAnsi="Times New Roman" w:cs="Times New Roman"/>
                <w:b/>
                <w:color w:val="000000"/>
                <w:sz w:val="24"/>
              </w:rPr>
              <w:t xml:space="preserve">% Marks Obtained </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Introduction to Banking</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A104B9">
            <w:pPr>
              <w:spacing w:after="0" w:line="240" w:lineRule="auto"/>
              <w:rPr>
                <w:rFonts w:ascii="Calibri" w:eastAsia="Calibri" w:hAnsi="Calibri" w:cs="Calibri"/>
              </w:rPr>
            </w:pPr>
            <w:r>
              <w:rPr>
                <w:rFonts w:ascii="Calibri" w:eastAsia="Calibri" w:hAnsi="Calibri" w:cs="Calibri"/>
              </w:rPr>
              <w:t>76</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Law and Practice of Banking </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A104B9">
            <w:pPr>
              <w:spacing w:after="0" w:line="240" w:lineRule="auto"/>
              <w:rPr>
                <w:rFonts w:ascii="Calibri" w:eastAsia="Calibri" w:hAnsi="Calibri" w:cs="Calibri"/>
              </w:rPr>
            </w:pPr>
            <w:r>
              <w:rPr>
                <w:rFonts w:ascii="Calibri" w:eastAsia="Calibri" w:hAnsi="Calibri" w:cs="Calibri"/>
              </w:rPr>
              <w:t>96</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Retail Banking</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 </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Business Banking</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0B0001">
            <w:pPr>
              <w:spacing w:after="0" w:line="240" w:lineRule="auto"/>
              <w:rPr>
                <w:rFonts w:ascii="Calibri" w:eastAsia="Calibri" w:hAnsi="Calibri" w:cs="Calibri"/>
              </w:rPr>
            </w:pP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NRI Banking </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D402A6">
            <w:pPr>
              <w:spacing w:after="0" w:line="240" w:lineRule="auto"/>
              <w:rPr>
                <w:rFonts w:ascii="Calibri" w:eastAsia="Calibri" w:hAnsi="Calibri" w:cs="Calibri"/>
              </w:rPr>
            </w:pPr>
            <w:r>
              <w:rPr>
                <w:rFonts w:ascii="Calibri" w:eastAsia="Calibri" w:hAnsi="Calibri" w:cs="Calibri"/>
              </w:rPr>
              <w:t>92</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Wealth Management and Financial Planning</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D402A6">
            <w:pPr>
              <w:spacing w:after="0" w:line="240" w:lineRule="auto"/>
              <w:rPr>
                <w:rFonts w:ascii="Calibri" w:eastAsia="Calibri" w:hAnsi="Calibri" w:cs="Calibri"/>
              </w:rPr>
            </w:pPr>
            <w:r>
              <w:rPr>
                <w:rFonts w:ascii="Calibri" w:eastAsia="Calibri" w:hAnsi="Calibri" w:cs="Calibri"/>
              </w:rPr>
              <w:t>70</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New Age Banking </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A104B9">
            <w:pPr>
              <w:spacing w:after="0" w:line="240" w:lineRule="auto"/>
              <w:rPr>
                <w:rFonts w:ascii="Calibri" w:eastAsia="Calibri" w:hAnsi="Calibri" w:cs="Calibri"/>
              </w:rPr>
            </w:pPr>
            <w:r>
              <w:rPr>
                <w:rFonts w:ascii="Calibri" w:eastAsia="Calibri" w:hAnsi="Calibri" w:cs="Calibri"/>
              </w:rPr>
              <w:t>68</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Core Banking Solution ( Finacle)</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0B0001">
            <w:pPr>
              <w:spacing w:after="0" w:line="240" w:lineRule="auto"/>
              <w:rPr>
                <w:rFonts w:ascii="Calibri" w:eastAsia="Calibri" w:hAnsi="Calibri" w:cs="Calibri"/>
              </w:rPr>
            </w:pP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Management of Banks </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D402A6">
            <w:pPr>
              <w:spacing w:after="0" w:line="240" w:lineRule="auto"/>
              <w:rPr>
                <w:rFonts w:ascii="Calibri" w:eastAsia="Calibri" w:hAnsi="Calibri" w:cs="Calibri"/>
              </w:rPr>
            </w:pPr>
            <w:r>
              <w:rPr>
                <w:rFonts w:ascii="Calibri" w:eastAsia="Calibri" w:hAnsi="Calibri" w:cs="Calibri"/>
              </w:rPr>
              <w:t>84</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Communication Skills</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0B0001">
            <w:pPr>
              <w:spacing w:after="0" w:line="240" w:lineRule="auto"/>
              <w:rPr>
                <w:rFonts w:ascii="Calibri" w:eastAsia="Calibri" w:hAnsi="Calibri" w:cs="Calibri"/>
              </w:rPr>
            </w:pP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Accounting and Financial Mathematics for Bankers </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A104B9">
            <w:pPr>
              <w:spacing w:after="0" w:line="240" w:lineRule="auto"/>
              <w:rPr>
                <w:rFonts w:ascii="Calibri" w:eastAsia="Calibri" w:hAnsi="Calibri" w:cs="Calibri"/>
              </w:rPr>
            </w:pPr>
            <w:r>
              <w:rPr>
                <w:rFonts w:ascii="Calibri" w:eastAsia="Calibri" w:hAnsi="Calibri" w:cs="Calibri"/>
              </w:rPr>
              <w:t>76</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Sales and Relationship Management</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0B0001">
            <w:pPr>
              <w:spacing w:after="0" w:line="240" w:lineRule="auto"/>
              <w:rPr>
                <w:rFonts w:ascii="Calibri" w:eastAsia="Calibri" w:hAnsi="Calibri" w:cs="Calibri"/>
              </w:rPr>
            </w:pP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Essentials of Customer Service</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0B0001">
            <w:pPr>
              <w:spacing w:after="0" w:line="240" w:lineRule="auto"/>
              <w:rPr>
                <w:rFonts w:ascii="Calibri" w:eastAsia="Calibri" w:hAnsi="Calibri" w:cs="Calibri"/>
              </w:rPr>
            </w:pP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pPr>
            <w:r>
              <w:rPr>
                <w:rFonts w:ascii="Times New Roman" w:eastAsia="Times New Roman" w:hAnsi="Times New Roman" w:cs="Times New Roman"/>
                <w:color w:val="000000"/>
                <w:sz w:val="24"/>
              </w:rPr>
              <w:t xml:space="preserve">Business Intelligence </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0B0001" w:rsidRDefault="00D402A6">
            <w:pPr>
              <w:spacing w:after="0" w:line="240" w:lineRule="auto"/>
              <w:rPr>
                <w:rFonts w:ascii="Calibri" w:eastAsia="Calibri" w:hAnsi="Calibri" w:cs="Calibri"/>
              </w:rPr>
            </w:pPr>
            <w:r>
              <w:rPr>
                <w:rFonts w:ascii="Calibri" w:eastAsia="Calibri" w:hAnsi="Calibri" w:cs="Calibri"/>
              </w:rPr>
              <w:t xml:space="preserve"> </w:t>
            </w:r>
          </w:p>
        </w:tc>
      </w:tr>
      <w:tr w:rsidR="000B0001">
        <w:tc>
          <w:tcPr>
            <w:tcW w:w="80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bottom"/>
          </w:tcPr>
          <w:p w:rsidR="000B0001" w:rsidRDefault="00A104B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Economic Times FinPro</w:t>
            </w:r>
          </w:p>
          <w:p w:rsidR="00D402A6" w:rsidRDefault="00D402A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Ets 1</w:t>
            </w:r>
          </w:p>
          <w:p w:rsidR="00D402A6" w:rsidRDefault="00D402A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Ets 2</w:t>
            </w:r>
          </w:p>
          <w:p w:rsidR="00D402A6" w:rsidRDefault="00D402A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Ets 3</w:t>
            </w:r>
          </w:p>
          <w:p w:rsidR="00D402A6" w:rsidRDefault="00D402A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Ets 4</w:t>
            </w:r>
          </w:p>
          <w:p w:rsidR="000B0001" w:rsidRDefault="00A104B9">
            <w:pPr>
              <w:spacing w:after="0" w:line="240" w:lineRule="auto"/>
            </w:pPr>
            <w:r>
              <w:rPr>
                <w:rFonts w:ascii="Times New Roman" w:eastAsia="Times New Roman" w:hAnsi="Times New Roman" w:cs="Times New Roman"/>
                <w:color w:val="000000"/>
                <w:sz w:val="24"/>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166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rsidR="00D402A6" w:rsidRDefault="00D402A6" w:rsidP="00D402A6">
            <w:pPr>
              <w:spacing w:after="0" w:line="240" w:lineRule="auto"/>
              <w:rPr>
                <w:rFonts w:ascii="Calibri" w:eastAsia="Calibri" w:hAnsi="Calibri" w:cs="Calibri"/>
              </w:rPr>
            </w:pPr>
            <w:r>
              <w:rPr>
                <w:rFonts w:ascii="Calibri" w:eastAsia="Calibri" w:hAnsi="Calibri" w:cs="Calibri"/>
              </w:rPr>
              <w:t>57.6</w:t>
            </w:r>
          </w:p>
          <w:p w:rsidR="00D402A6" w:rsidRDefault="00D402A6" w:rsidP="00D402A6">
            <w:pPr>
              <w:spacing w:after="0" w:line="240" w:lineRule="auto"/>
              <w:rPr>
                <w:rFonts w:ascii="Calibri" w:eastAsia="Calibri" w:hAnsi="Calibri" w:cs="Calibri"/>
              </w:rPr>
            </w:pPr>
            <w:r>
              <w:rPr>
                <w:rFonts w:ascii="Calibri" w:eastAsia="Calibri" w:hAnsi="Calibri" w:cs="Calibri"/>
              </w:rPr>
              <w:t>76</w:t>
            </w:r>
          </w:p>
          <w:p w:rsidR="00D402A6" w:rsidRDefault="00D402A6" w:rsidP="00D402A6">
            <w:pPr>
              <w:spacing w:after="0" w:line="240" w:lineRule="auto"/>
              <w:rPr>
                <w:rFonts w:ascii="Calibri" w:eastAsia="Calibri" w:hAnsi="Calibri" w:cs="Calibri"/>
              </w:rPr>
            </w:pPr>
            <w:r>
              <w:rPr>
                <w:rFonts w:ascii="Calibri" w:eastAsia="Calibri" w:hAnsi="Calibri" w:cs="Calibri"/>
              </w:rPr>
              <w:t>71</w:t>
            </w:r>
          </w:p>
          <w:p w:rsidR="00D402A6" w:rsidRDefault="00D402A6" w:rsidP="00D402A6">
            <w:pPr>
              <w:spacing w:after="0" w:line="240" w:lineRule="auto"/>
              <w:rPr>
                <w:rFonts w:ascii="Calibri" w:eastAsia="Calibri" w:hAnsi="Calibri" w:cs="Calibri"/>
              </w:rPr>
            </w:pPr>
            <w:r>
              <w:rPr>
                <w:rFonts w:ascii="Calibri" w:eastAsia="Calibri" w:hAnsi="Calibri" w:cs="Calibri"/>
              </w:rPr>
              <w:t>67</w:t>
            </w:r>
          </w:p>
          <w:p w:rsidR="00D402A6" w:rsidRDefault="00D402A6" w:rsidP="00D402A6">
            <w:pPr>
              <w:spacing w:after="0" w:line="240" w:lineRule="auto"/>
              <w:rPr>
                <w:rFonts w:ascii="Calibri" w:eastAsia="Calibri" w:hAnsi="Calibri" w:cs="Calibri"/>
              </w:rPr>
            </w:pPr>
          </w:p>
          <w:p w:rsidR="00D402A6" w:rsidRDefault="00D402A6" w:rsidP="00D402A6">
            <w:pPr>
              <w:spacing w:after="0" w:line="240" w:lineRule="auto"/>
              <w:rPr>
                <w:rFonts w:ascii="Calibri" w:eastAsia="Calibri" w:hAnsi="Calibri" w:cs="Calibri"/>
              </w:rPr>
            </w:pPr>
          </w:p>
          <w:p w:rsidR="00D402A6" w:rsidRDefault="00D402A6" w:rsidP="00D402A6">
            <w:pPr>
              <w:spacing w:after="0" w:line="240" w:lineRule="auto"/>
              <w:rPr>
                <w:rFonts w:ascii="Calibri" w:eastAsia="Calibri" w:hAnsi="Calibri" w:cs="Calibri"/>
              </w:rPr>
            </w:pPr>
          </w:p>
          <w:p w:rsidR="00D402A6" w:rsidRDefault="00D402A6" w:rsidP="00D402A6">
            <w:pPr>
              <w:spacing w:after="0" w:line="240" w:lineRule="auto"/>
              <w:rPr>
                <w:rFonts w:ascii="Calibri" w:eastAsia="Calibri" w:hAnsi="Calibri" w:cs="Calibri"/>
              </w:rPr>
            </w:pPr>
          </w:p>
        </w:tc>
      </w:tr>
    </w:tbl>
    <w:p w:rsidR="000B0001" w:rsidRDefault="000B0001">
      <w:pPr>
        <w:spacing w:after="0" w:line="240" w:lineRule="auto"/>
        <w:jc w:val="center"/>
        <w:rPr>
          <w:rFonts w:ascii="Times New Roman" w:eastAsia="Times New Roman" w:hAnsi="Times New Roman" w:cs="Times New Roman"/>
          <w:b/>
          <w:color w:val="000000"/>
          <w:sz w:val="24"/>
          <w:u w:val="single"/>
        </w:rPr>
      </w:pPr>
    </w:p>
    <w:p w:rsidR="000B0001" w:rsidRDefault="000B0001">
      <w:pPr>
        <w:spacing w:after="0" w:line="240" w:lineRule="auto"/>
        <w:jc w:val="center"/>
        <w:rPr>
          <w:rFonts w:ascii="Times New Roman" w:eastAsia="Times New Roman" w:hAnsi="Times New Roman" w:cs="Times New Roman"/>
          <w:b/>
          <w:color w:val="000000"/>
          <w:sz w:val="24"/>
          <w:u w:val="single"/>
        </w:rPr>
      </w:pPr>
    </w:p>
    <w:p w:rsidR="00D402A6" w:rsidRDefault="00D402A6">
      <w:pPr>
        <w:spacing w:after="0" w:line="240" w:lineRule="auto"/>
        <w:jc w:val="center"/>
        <w:rPr>
          <w:rFonts w:ascii="Times New Roman" w:eastAsia="Times New Roman" w:hAnsi="Times New Roman" w:cs="Times New Roman"/>
          <w:b/>
          <w:color w:val="000000"/>
          <w:sz w:val="24"/>
          <w:u w:val="single"/>
        </w:rPr>
      </w:pPr>
    </w:p>
    <w:p w:rsidR="00D402A6" w:rsidRDefault="00D402A6">
      <w:pPr>
        <w:spacing w:after="0" w:line="240" w:lineRule="auto"/>
        <w:jc w:val="center"/>
        <w:rPr>
          <w:rFonts w:ascii="Times New Roman" w:eastAsia="Times New Roman" w:hAnsi="Times New Roman" w:cs="Times New Roman"/>
          <w:b/>
          <w:color w:val="000000"/>
          <w:sz w:val="24"/>
          <w:u w:val="single"/>
        </w:rPr>
      </w:pPr>
    </w:p>
    <w:p w:rsidR="000B0001" w:rsidRDefault="00A104B9">
      <w:pPr>
        <w:spacing w:after="0" w:line="24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Academic Credentials</w:t>
      </w:r>
    </w:p>
    <w:p w:rsidR="000B0001" w:rsidRDefault="000B0001">
      <w:pPr>
        <w:spacing w:after="0" w:line="240" w:lineRule="auto"/>
        <w:jc w:val="center"/>
        <w:rPr>
          <w:rFonts w:ascii="Times New Roman" w:eastAsia="Times New Roman" w:hAnsi="Times New Roman" w:cs="Times New Roman"/>
          <w:b/>
          <w:color w:val="000000"/>
          <w:sz w:val="24"/>
        </w:rPr>
      </w:pPr>
    </w:p>
    <w:tbl>
      <w:tblPr>
        <w:tblW w:w="0" w:type="auto"/>
        <w:tblInd w:w="98" w:type="dxa"/>
        <w:tblCellMar>
          <w:left w:w="10" w:type="dxa"/>
          <w:right w:w="10" w:type="dxa"/>
        </w:tblCellMar>
        <w:tblLook w:val="0000" w:firstRow="0" w:lastRow="0" w:firstColumn="0" w:lastColumn="0" w:noHBand="0" w:noVBand="0"/>
      </w:tblPr>
      <w:tblGrid>
        <w:gridCol w:w="1754"/>
        <w:gridCol w:w="1102"/>
        <w:gridCol w:w="2149"/>
        <w:gridCol w:w="2329"/>
        <w:gridCol w:w="1810"/>
      </w:tblGrid>
      <w:tr w:rsidR="000B0001">
        <w:tc>
          <w:tcPr>
            <w:tcW w:w="1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Qualification</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Year of Passing</w:t>
            </w:r>
          </w:p>
        </w:tc>
        <w:tc>
          <w:tcPr>
            <w:tcW w:w="2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School/College</w:t>
            </w:r>
          </w:p>
        </w:tc>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Board/University</w:t>
            </w:r>
          </w:p>
        </w:tc>
        <w:tc>
          <w:tcPr>
            <w:tcW w:w="2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Percentage</w:t>
            </w:r>
          </w:p>
        </w:tc>
      </w:tr>
      <w:tr w:rsidR="000B0001">
        <w:tc>
          <w:tcPr>
            <w:tcW w:w="1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b/>
                <w:color w:val="000000"/>
                <w:sz w:val="24"/>
              </w:rPr>
              <w:t>Xth</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2008</w:t>
            </w:r>
          </w:p>
        </w:tc>
        <w:tc>
          <w:tcPr>
            <w:tcW w:w="2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Bombay Scottish School</w:t>
            </w:r>
          </w:p>
        </w:tc>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Delhi Board</w:t>
            </w:r>
          </w:p>
        </w:tc>
        <w:tc>
          <w:tcPr>
            <w:tcW w:w="2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74.85%</w:t>
            </w:r>
          </w:p>
        </w:tc>
      </w:tr>
      <w:tr w:rsidR="000B0001">
        <w:tc>
          <w:tcPr>
            <w:tcW w:w="1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XIIth</w:t>
            </w:r>
          </w:p>
          <w:p w:rsidR="000B0001" w:rsidRDefault="00A104B9">
            <w:pPr>
              <w:spacing w:after="0" w:line="240" w:lineRule="auto"/>
            </w:pPr>
            <w:r>
              <w:rPr>
                <w:rFonts w:ascii="Times New Roman" w:eastAsia="Times New Roman" w:hAnsi="Times New Roman" w:cs="Times New Roman"/>
                <w:color w:val="000000"/>
                <w:sz w:val="24"/>
              </w:rPr>
              <w:t>Commerce</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2010</w:t>
            </w:r>
          </w:p>
        </w:tc>
        <w:tc>
          <w:tcPr>
            <w:tcW w:w="2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R.D. National College</w:t>
            </w:r>
          </w:p>
        </w:tc>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 xml:space="preserve">Maharashtra Board </w:t>
            </w:r>
          </w:p>
        </w:tc>
        <w:tc>
          <w:tcPr>
            <w:tcW w:w="2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68.83%</w:t>
            </w:r>
          </w:p>
        </w:tc>
      </w:tr>
      <w:tr w:rsidR="000B0001">
        <w:tc>
          <w:tcPr>
            <w:tcW w:w="1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Graduation</w:t>
            </w:r>
          </w:p>
          <w:p w:rsidR="000B0001" w:rsidRDefault="00A104B9">
            <w:pPr>
              <w:spacing w:after="0" w:line="240" w:lineRule="auto"/>
            </w:pPr>
            <w:r>
              <w:rPr>
                <w:rFonts w:ascii="Times New Roman" w:eastAsia="Times New Roman" w:hAnsi="Times New Roman" w:cs="Times New Roman"/>
                <w:color w:val="000000"/>
                <w:sz w:val="24"/>
              </w:rPr>
              <w:t>Commerce</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2013</w:t>
            </w:r>
          </w:p>
        </w:tc>
        <w:tc>
          <w:tcPr>
            <w:tcW w:w="2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Smt. M.M.K College of Commerce &amp; Economics</w:t>
            </w:r>
          </w:p>
        </w:tc>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Mumbai University</w:t>
            </w:r>
          </w:p>
        </w:tc>
        <w:tc>
          <w:tcPr>
            <w:tcW w:w="2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68.14%</w:t>
            </w:r>
          </w:p>
        </w:tc>
      </w:tr>
      <w:tr w:rsidR="000B0001">
        <w:tc>
          <w:tcPr>
            <w:tcW w:w="1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Post Graduation</w:t>
            </w:r>
          </w:p>
          <w:p w:rsidR="000B0001" w:rsidRDefault="00A104B9">
            <w:pPr>
              <w:spacing w:after="0" w:line="240" w:lineRule="auto"/>
            </w:pPr>
            <w:r>
              <w:rPr>
                <w:rFonts w:ascii="Times New Roman" w:eastAsia="Times New Roman" w:hAnsi="Times New Roman" w:cs="Times New Roman"/>
                <w:color w:val="000000"/>
                <w:sz w:val="24"/>
              </w:rPr>
              <w:t>Commerce</w:t>
            </w:r>
          </w:p>
        </w:tc>
        <w:tc>
          <w:tcPr>
            <w:tcW w:w="1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0B0001">
            <w:pPr>
              <w:spacing w:after="0" w:line="240" w:lineRule="auto"/>
              <w:rPr>
                <w:rFonts w:ascii="Calibri" w:eastAsia="Calibri" w:hAnsi="Calibri" w:cs="Calibri"/>
              </w:rPr>
            </w:pPr>
          </w:p>
        </w:tc>
        <w:tc>
          <w:tcPr>
            <w:tcW w:w="2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NA</w:t>
            </w:r>
          </w:p>
        </w:tc>
        <w:tc>
          <w:tcPr>
            <w:tcW w:w="25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NA</w:t>
            </w:r>
          </w:p>
          <w:p w:rsidR="000B0001" w:rsidRDefault="000B0001">
            <w:pPr>
              <w:spacing w:after="0" w:line="240" w:lineRule="auto"/>
            </w:pPr>
          </w:p>
        </w:tc>
        <w:tc>
          <w:tcPr>
            <w:tcW w:w="2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pPr>
            <w:r>
              <w:rPr>
                <w:rFonts w:ascii="Times New Roman" w:eastAsia="Times New Roman" w:hAnsi="Times New Roman" w:cs="Times New Roman"/>
                <w:color w:val="000000"/>
                <w:sz w:val="24"/>
              </w:rPr>
              <w:t>NA</w:t>
            </w:r>
          </w:p>
        </w:tc>
      </w:tr>
    </w:tbl>
    <w:p w:rsidR="000B0001" w:rsidRDefault="000B0001">
      <w:pPr>
        <w:spacing w:after="240" w:line="240" w:lineRule="auto"/>
        <w:rPr>
          <w:rFonts w:ascii="Times New Roman" w:eastAsia="Times New Roman" w:hAnsi="Times New Roman" w:cs="Times New Roman"/>
          <w:b/>
          <w:color w:val="000000"/>
          <w:sz w:val="24"/>
        </w:rPr>
      </w:pPr>
    </w:p>
    <w:p w:rsidR="000B0001" w:rsidRDefault="00A104B9">
      <w:pPr>
        <w:spacing w:after="24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rPr>
        <w:t>Certifications/Achievements:</w:t>
      </w:r>
      <w:r w:rsidR="00AB5B59">
        <w:rPr>
          <w:rFonts w:ascii="Times New Roman" w:eastAsia="Times New Roman" w:hAnsi="Times New Roman" w:cs="Times New Roman"/>
          <w:color w:val="000000"/>
          <w:sz w:val="24"/>
        </w:rPr>
        <w:t xml:space="preserve"> NISM 5A – mutual funds distributions.</w:t>
      </w:r>
    </w:p>
    <w:p w:rsidR="000B0001" w:rsidRDefault="00A104B9">
      <w:pPr>
        <w:spacing w:after="0" w:line="24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Work Experience</w:t>
      </w:r>
    </w:p>
    <w:p w:rsidR="000B0001" w:rsidRDefault="000B0001">
      <w:pPr>
        <w:spacing w:after="0" w:line="240" w:lineRule="auto"/>
        <w:ind w:left="1440"/>
        <w:rPr>
          <w:rFonts w:ascii="Times New Roman" w:eastAsia="Times New Roman" w:hAnsi="Times New Roman" w:cs="Times New Roman"/>
          <w:b/>
          <w:color w:val="000000"/>
          <w:sz w:val="24"/>
        </w:rPr>
      </w:pPr>
    </w:p>
    <w:tbl>
      <w:tblPr>
        <w:tblW w:w="0" w:type="auto"/>
        <w:tblInd w:w="98" w:type="dxa"/>
        <w:tblCellMar>
          <w:left w:w="10" w:type="dxa"/>
          <w:right w:w="10" w:type="dxa"/>
        </w:tblCellMar>
        <w:tblLook w:val="0000" w:firstRow="0" w:lastRow="0" w:firstColumn="0" w:lastColumn="0" w:noHBand="0" w:noVBand="0"/>
      </w:tblPr>
      <w:tblGrid>
        <w:gridCol w:w="1666"/>
        <w:gridCol w:w="1065"/>
        <w:gridCol w:w="2207"/>
        <w:gridCol w:w="2299"/>
        <w:gridCol w:w="1907"/>
      </w:tblGrid>
      <w:tr w:rsidR="000B0001">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From</w:t>
            </w:r>
          </w:p>
        </w:tc>
        <w:tc>
          <w:tcPr>
            <w:tcW w:w="1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To</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Organization</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Designation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jc w:val="center"/>
            </w:pPr>
            <w:r>
              <w:rPr>
                <w:rFonts w:ascii="Times New Roman" w:eastAsia="Times New Roman" w:hAnsi="Times New Roman" w:cs="Times New Roman"/>
                <w:b/>
                <w:color w:val="000000"/>
                <w:sz w:val="24"/>
              </w:rPr>
              <w:t>Profile</w:t>
            </w:r>
          </w:p>
        </w:tc>
      </w:tr>
      <w:tr w:rsidR="000B0001">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5th April</w:t>
            </w:r>
          </w:p>
        </w:tc>
        <w:tc>
          <w:tcPr>
            <w:tcW w:w="1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Jan-14</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Sippy Housing</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 xml:space="preserve">Sales and survey </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 xml:space="preserve">Client visits, </w:t>
            </w:r>
          </w:p>
          <w:p w:rsidR="000B0001" w:rsidRDefault="00A104B9">
            <w:pPr>
              <w:spacing w:after="0" w:line="240" w:lineRule="auto"/>
              <w:rPr>
                <w:rFonts w:ascii="Calibri" w:eastAsia="Calibri" w:hAnsi="Calibri" w:cs="Calibri"/>
              </w:rPr>
            </w:pPr>
            <w:r>
              <w:rPr>
                <w:rFonts w:ascii="Calibri" w:eastAsia="Calibri" w:hAnsi="Calibri" w:cs="Calibri"/>
              </w:rPr>
              <w:t>Phone calling of cx and builders and associates,</w:t>
            </w:r>
          </w:p>
          <w:p w:rsidR="000B0001" w:rsidRDefault="00A104B9">
            <w:pPr>
              <w:spacing w:after="0" w:line="240" w:lineRule="auto"/>
              <w:rPr>
                <w:rFonts w:ascii="Calibri" w:eastAsia="Calibri" w:hAnsi="Calibri" w:cs="Calibri"/>
              </w:rPr>
            </w:pPr>
            <w:r>
              <w:rPr>
                <w:rFonts w:ascii="Calibri" w:eastAsia="Calibri" w:hAnsi="Calibri" w:cs="Calibri"/>
              </w:rPr>
              <w:t xml:space="preserve">Outsourcing properties. </w:t>
            </w:r>
          </w:p>
          <w:p w:rsidR="000B0001" w:rsidRDefault="000B0001">
            <w:pPr>
              <w:spacing w:after="0" w:line="240" w:lineRule="auto"/>
              <w:rPr>
                <w:rFonts w:ascii="Calibri" w:eastAsia="Calibri" w:hAnsi="Calibri" w:cs="Calibri"/>
              </w:rPr>
            </w:pPr>
          </w:p>
        </w:tc>
      </w:tr>
      <w:tr w:rsidR="000B0001">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April-24</w:t>
            </w:r>
          </w:p>
        </w:tc>
        <w:tc>
          <w:tcPr>
            <w:tcW w:w="1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Sept-14</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Sutherland global services</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 xml:space="preserve">Consultant </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001" w:rsidRDefault="00A104B9">
            <w:pPr>
              <w:spacing w:after="0" w:line="240" w:lineRule="auto"/>
              <w:rPr>
                <w:rFonts w:ascii="Calibri" w:eastAsia="Calibri" w:hAnsi="Calibri" w:cs="Calibri"/>
              </w:rPr>
            </w:pPr>
            <w:r>
              <w:rPr>
                <w:rFonts w:ascii="Calibri" w:eastAsia="Calibri" w:hAnsi="Calibri" w:cs="Calibri"/>
              </w:rPr>
              <w:t>Handling US cx to provide technical relief.</w:t>
            </w:r>
          </w:p>
        </w:tc>
      </w:tr>
    </w:tbl>
    <w:p w:rsidR="000B0001" w:rsidRDefault="000B0001">
      <w:pPr>
        <w:spacing w:after="0" w:line="240" w:lineRule="auto"/>
        <w:rPr>
          <w:rFonts w:ascii="Times New Roman" w:eastAsia="Times New Roman" w:hAnsi="Times New Roman" w:cs="Times New Roman"/>
          <w:color w:val="000000"/>
          <w:sz w:val="24"/>
        </w:rPr>
      </w:pPr>
    </w:p>
    <w:p w:rsidR="000B0001" w:rsidRDefault="000B0001">
      <w:pPr>
        <w:spacing w:after="0" w:line="276" w:lineRule="auto"/>
        <w:rPr>
          <w:rFonts w:ascii="Times New Roman" w:eastAsia="Times New Roman" w:hAnsi="Times New Roman" w:cs="Times New Roman"/>
          <w:color w:val="000000"/>
          <w:sz w:val="24"/>
        </w:rPr>
      </w:pP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 hereby declare that all the above statements are true and complete to the best of my knowledge. </w:t>
      </w:r>
    </w:p>
    <w:p w:rsidR="000B0001" w:rsidRDefault="000B0001">
      <w:pPr>
        <w:spacing w:after="0" w:line="276" w:lineRule="auto"/>
        <w:rPr>
          <w:rFonts w:ascii="Times New Roman" w:eastAsia="Times New Roman" w:hAnsi="Times New Roman" w:cs="Times New Roman"/>
          <w:color w:val="000000"/>
          <w:sz w:val="24"/>
        </w:rPr>
      </w:pPr>
    </w:p>
    <w:p w:rsidR="000B0001" w:rsidRDefault="00CD2662">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  25</w:t>
      </w:r>
      <w:bookmarkStart w:id="0" w:name="_GoBack"/>
      <w:bookmarkEnd w:id="0"/>
      <w:r w:rsidR="003F4B7F" w:rsidRPr="003F4B7F">
        <w:rPr>
          <w:rFonts w:ascii="Times New Roman" w:eastAsia="Times New Roman" w:hAnsi="Times New Roman" w:cs="Times New Roman"/>
          <w:color w:val="000000"/>
          <w:sz w:val="24"/>
          <w:vertAlign w:val="superscript"/>
        </w:rPr>
        <w:t>th</w:t>
      </w:r>
      <w:r w:rsidR="003F4B7F">
        <w:rPr>
          <w:rFonts w:ascii="Times New Roman" w:eastAsia="Times New Roman" w:hAnsi="Times New Roman" w:cs="Times New Roman"/>
          <w:color w:val="000000"/>
          <w:sz w:val="24"/>
        </w:rPr>
        <w:t xml:space="preserve"> April</w:t>
      </w:r>
      <w:r w:rsidR="00A104B9">
        <w:rPr>
          <w:rFonts w:ascii="Times New Roman" w:eastAsia="Times New Roman" w:hAnsi="Times New Roman" w:cs="Times New Roman"/>
          <w:color w:val="000000"/>
          <w:sz w:val="24"/>
        </w:rPr>
        <w:t>, 2015</w:t>
      </w:r>
    </w:p>
    <w:p w:rsidR="000B0001" w:rsidRDefault="000B0001">
      <w:pPr>
        <w:spacing w:after="0" w:line="276" w:lineRule="auto"/>
        <w:rPr>
          <w:rFonts w:ascii="Times New Roman" w:eastAsia="Times New Roman" w:hAnsi="Times New Roman" w:cs="Times New Roman"/>
          <w:color w:val="000000"/>
          <w:sz w:val="24"/>
        </w:rPr>
      </w:pPr>
    </w:p>
    <w:p w:rsidR="000B0001" w:rsidRDefault="00A104B9">
      <w:pPr>
        <w:spacing w:after="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Place: </w:t>
      </w:r>
      <w:r>
        <w:rPr>
          <w:rFonts w:ascii="Times New Roman" w:eastAsia="Times New Roman" w:hAnsi="Times New Roman" w:cs="Times New Roman"/>
          <w:color w:val="000000"/>
          <w:sz w:val="24"/>
        </w:rPr>
        <w:tab/>
        <w:t>Mumbai.</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(Rahul Totlani)  </w:t>
      </w:r>
    </w:p>
    <w:sectPr w:rsidR="000B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B0001"/>
    <w:rsid w:val="000B0001"/>
    <w:rsid w:val="003F4B7F"/>
    <w:rsid w:val="00A104B9"/>
    <w:rsid w:val="00A57EAE"/>
    <w:rsid w:val="00AB5B59"/>
    <w:rsid w:val="00CD2662"/>
    <w:rsid w:val="00D40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EE611-37B4-45B3-B769-662AB8D7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totlani</cp:lastModifiedBy>
  <cp:revision>8</cp:revision>
  <dcterms:created xsi:type="dcterms:W3CDTF">2015-02-18T12:54:00Z</dcterms:created>
  <dcterms:modified xsi:type="dcterms:W3CDTF">2015-04-25T07:10:00Z</dcterms:modified>
</cp:coreProperties>
</file>