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 xml:space="preserve">Yangyang </w:t>
      </w:r>
      <w:proofErr w:type="spellStart"/>
      <w:r>
        <w:rPr>
          <w:lang w:val="de-DE"/>
        </w:rPr>
        <w:t>Xu</w:t>
      </w:r>
      <w:proofErr w:type="spellEnd"/>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0E4EF4">
      <w:pPr>
        <w:pStyle w:val="abstract"/>
        <w:spacing w:before="120"/>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9B1D59">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DE143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t>
      </w:r>
      <w:proofErr w:type="spellStart"/>
      <w:r w:rsidR="00690C37">
        <w:t>Wh</w:t>
      </w:r>
      <w:proofErr w:type="spellEnd"/>
      <w:r w:rsidR="00690C37">
        <w:t xml:space="preserve">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D17BAFB" w:rsidR="0043198F" w:rsidRDefault="00C23EA1" w:rsidP="0043198F">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proofErr w:type="spellStart"/>
      <w:r w:rsidR="004A4504">
        <w:t>Bhuvan</w:t>
      </w:r>
      <w:proofErr w:type="spellEnd"/>
      <w:r w:rsidR="004A4504">
        <w:t xml:space="preserve">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 xml:space="preserve">deep learning architecture, Convolutional Neural Network (CNN) is used by </w:t>
      </w:r>
      <w:proofErr w:type="spellStart"/>
      <w:r w:rsidR="004A4504">
        <w:t>Walawalkar</w:t>
      </w:r>
      <w:proofErr w:type="spellEnd"/>
      <w:r w:rsidR="004A4504">
        <w:t xml:space="preserve">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594B0E8"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w:t>
      </w:r>
      <w:proofErr w:type="spellStart"/>
      <w:r>
        <w:t>Behzed</w:t>
      </w:r>
      <w:proofErr w:type="spellEnd"/>
      <w:r>
        <w:t xml:space="preserve">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77777777" w:rsidR="009B1D59" w:rsidRPr="009A3755" w:rsidRDefault="00833F6C" w:rsidP="00E85A60">
      <w:pPr>
        <w:pStyle w:val="heading10"/>
        <w:outlineLvl w:val="0"/>
      </w:pPr>
      <w:r>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3F7D0A54"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 xml:space="preserve">stance and angles are specified </w:t>
      </w:r>
      <w:r w:rsidR="00F26A39">
        <w:t xml:space="preserve">in Freitas et </w:t>
      </w:r>
      <w:proofErr w:type="spellStart"/>
      <w:r w:rsidR="00F26A39">
        <w:t>al’s</w:t>
      </w:r>
      <w:proofErr w:type="spellEnd"/>
      <w:r w:rsidR="00F26A39">
        <w:t xml:space="preserve">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are two signers, each signer performed </w:t>
      </w:r>
      <w:r w:rsidR="00FA0E05">
        <w:lastRenderedPageBreak/>
        <w:t>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0A84A01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BD20F4">
        <w:instrText xml:space="preserve"> ADDIN EN.CITE &lt;EndNote&gt;&lt;Cite&gt;&lt;Author&gt;Evan&lt;/Author&gt;&lt;Year&gt;2017&lt;/Year&gt;&lt;RecNum&gt;45&lt;/RecNum&gt;&lt;DisplayText&gt;[10]&lt;/DisplayText&gt;&lt;record&gt;&lt;rec-number&gt;45&lt;/rec-number&gt;&lt;foreign-keys&gt;&lt;key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BD20F4">
        <w:rPr>
          <w:noProof/>
        </w:rPr>
        <w:t>[10]</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14574D"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3C89C8F0" w:rsidR="00833F6C" w:rsidRDefault="00B96484" w:rsidP="00833F6C">
      <w:pPr>
        <w:ind w:firstLine="0"/>
        <w:rPr>
          <w:lang w:val="en-AU" w:eastAsia="zh-CN"/>
        </w:rPr>
      </w:pPr>
      <w:r>
        <w:t>The aim of this experiment is using supervised binary classifier with LSTM architecture to classify if a frame of facial landmark belongs to a category of grammatical facial expression</w:t>
      </w:r>
      <w:r w:rsidR="00833F6C" w:rsidRPr="009B1D59">
        <w:t>.</w:t>
      </w:r>
      <w:r w:rsidR="00833F6C">
        <w:t xml:space="preserve"> </w:t>
      </w:r>
      <w:r>
        <w:t>As</w:t>
      </w:r>
      <w:r w:rsidR="00866A61">
        <w:rPr>
          <w:lang w:val="en-AU" w:eastAsia="zh-CN"/>
        </w:rPr>
        <w:t xml:space="preserve"> the Fig.</w:t>
      </w:r>
      <w:r>
        <w:rPr>
          <w:lang w:val="en-AU" w:eastAsia="zh-CN"/>
        </w:rPr>
        <w:t xml:space="preserve"> 1 displayed, </w:t>
      </w:r>
      <w:r w:rsidR="00614FE4">
        <w:rPr>
          <w:lang w:val="en-AU" w:eastAsia="zh-CN"/>
        </w:rPr>
        <w:t xml:space="preserve">there are </w:t>
      </w:r>
      <w:r w:rsidR="002F1EF9">
        <w:rPr>
          <w:lang w:val="en-AU" w:eastAsia="zh-CN"/>
        </w:rPr>
        <w:t xml:space="preserve">only </w:t>
      </w:r>
      <w:r w:rsidR="00533532">
        <w:rPr>
          <w:lang w:val="en-AU" w:eastAsia="zh-CN"/>
        </w:rPr>
        <w:t>one</w:t>
      </w:r>
      <w:r w:rsidR="00614FE4">
        <w:rPr>
          <w:lang w:val="en-AU" w:eastAsia="zh-CN"/>
        </w:rPr>
        <w:t xml:space="preserve"> hidden</w:t>
      </w:r>
      <w:r w:rsidR="00026CCF">
        <w:rPr>
          <w:lang w:val="en-AU" w:eastAsia="zh-CN"/>
        </w:rPr>
        <w:t xml:space="preserve"> layer</w:t>
      </w:r>
      <w:r w:rsidR="00866A61">
        <w:rPr>
          <w:lang w:val="en-AU" w:eastAsia="zh-CN"/>
        </w:rPr>
        <w:t>, LSTM layer</w:t>
      </w:r>
      <w:r w:rsidR="00533532">
        <w:rPr>
          <w:lang w:val="en-AU" w:eastAsia="zh-CN"/>
        </w:rPr>
        <w:t xml:space="preserve">. </w:t>
      </w:r>
      <w:r w:rsidR="00866A61">
        <w:rPr>
          <w:lang w:val="en-AU" w:eastAsia="zh-CN"/>
        </w:rPr>
        <w:t>Fully Connected (FC) layer</w:t>
      </w:r>
      <w:r w:rsidR="00533532">
        <w:rPr>
          <w:lang w:val="en-AU" w:eastAsia="zh-CN"/>
        </w:rPr>
        <w:t xml:space="preserve"> is used as </w:t>
      </w:r>
      <w:r w:rsidR="004846C7">
        <w:rPr>
          <w:lang w:val="en-AU" w:eastAsia="zh-CN"/>
        </w:rPr>
        <w:t xml:space="preserve">an </w:t>
      </w:r>
      <w:r w:rsidR="00866A61">
        <w:rPr>
          <w:lang w:val="en-AU" w:eastAsia="zh-CN"/>
        </w:rPr>
        <w:t>output layer</w:t>
      </w:r>
      <w:r w:rsidR="00614FE4">
        <w:rPr>
          <w:lang w:val="en-AU" w:eastAsia="zh-CN"/>
        </w:rPr>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59EF0E95">
            <wp:extent cx="3708806" cy="150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8">
                      <a:extLst>
                        <a:ext uri="{28A0092B-C50C-407E-A947-70E740481C1C}">
                          <a14:useLocalDpi xmlns:a14="http://schemas.microsoft.com/office/drawing/2010/main" val="0"/>
                        </a:ext>
                      </a:extLst>
                    </a:blip>
                    <a:stretch>
                      <a:fillRect/>
                    </a:stretch>
                  </pic:blipFill>
                  <pic:spPr>
                    <a:xfrm>
                      <a:off x="0" y="0"/>
                      <a:ext cx="3760782" cy="1529810"/>
                    </a:xfrm>
                    <a:prstGeom prst="rect">
                      <a:avLst/>
                    </a:prstGeom>
                  </pic:spPr>
                </pic:pic>
              </a:graphicData>
            </a:graphic>
          </wp:inline>
        </w:drawing>
      </w:r>
    </w:p>
    <w:p w14:paraId="14AE9554" w14:textId="25A8DE26" w:rsidR="00866A61" w:rsidRDefault="00866A61" w:rsidP="00866A61">
      <w:pPr>
        <w:ind w:firstLine="0"/>
        <w:jc w:val="center"/>
        <w:rPr>
          <w:sz w:val="18"/>
          <w:szCs w:val="18"/>
        </w:rPr>
      </w:pPr>
      <w:r w:rsidRPr="00A54DE9">
        <w:rPr>
          <w:b/>
          <w:sz w:val="18"/>
          <w:szCs w:val="18"/>
        </w:rPr>
        <w:t xml:space="preserve">Fig.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0E02B307"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w:t>
      </w:r>
      <w:r w:rsidR="00E62AEF">
        <w:lastRenderedPageBreak/>
        <w:t xml:space="preserve">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r w:rsidR="00EE3C09">
        <w:fldChar w:fldCharType="begin"/>
      </w:r>
      <w:r w:rsidR="00EE3C09">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EE3C09">
        <w:fldChar w:fldCharType="separate"/>
      </w:r>
      <w:r w:rsidR="00EE3C09">
        <w:rPr>
          <w:noProof/>
        </w:rPr>
        <w:t>[8]</w:t>
      </w:r>
      <w:r w:rsidR="00EE3C09">
        <w:fldChar w:fldCharType="end"/>
      </w:r>
      <w:r w:rsidR="00EE3C09">
        <w:t xml:space="preserve">. </w:t>
      </w:r>
    </w:p>
    <w:p w14:paraId="7CE953FD" w14:textId="77777777" w:rsidR="00EE3C09" w:rsidRDefault="00EE3C09" w:rsidP="00EE3C09"/>
    <w:p w14:paraId="1E47FCE2" w14:textId="1707656C" w:rsidR="00EE3C09" w:rsidRDefault="0014574D"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E3C09" w:rsidRPr="0014574D">
        <w:rPr>
          <w:b/>
        </w:rPr>
        <w:t>(4)</w:t>
      </w:r>
    </w:p>
    <w:p w14:paraId="61E8B527" w14:textId="77777777" w:rsidR="00EE3C09" w:rsidRDefault="00EE3C09" w:rsidP="00EE3C09">
      <w:pPr>
        <w:jc w:val="right"/>
      </w:pPr>
    </w:p>
    <w:p w14:paraId="4ABD3A33" w14:textId="194A89F1" w:rsidR="00EE3C09" w:rsidRDefault="0014574D"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E3C09" w:rsidRPr="000973E2">
        <w:rPr>
          <w:b/>
        </w:rPr>
        <w:t>(5)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Pr="000973E2">
        <w:rPr>
          <w:b/>
        </w:rPr>
        <w:t>(6)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bookmarkStart w:id="0" w:name="_GoBack"/>
      <w:bookmarkEnd w:id="0"/>
      <w:r>
        <w:t xml:space="preserve">          </w:t>
      </w:r>
      <w:r w:rsidRPr="000973E2">
        <w:rPr>
          <w:b/>
        </w:rPr>
        <w:t>(7)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0973E2">
        <w:rPr>
          <w:b/>
        </w:rPr>
        <w:t>(8)</w:t>
      </w:r>
    </w:p>
    <w:p w14:paraId="63F8E004" w14:textId="77777777" w:rsidR="00EE3C09" w:rsidRPr="00ED10ED" w:rsidRDefault="00EE3C09" w:rsidP="00EE3C09">
      <w:pPr>
        <w:jc w:val="right"/>
      </w:pPr>
    </w:p>
    <w:p w14:paraId="7C215F7B" w14:textId="0BEB33E7" w:rsidR="00EE3C09" w:rsidRPr="000973E2" w:rsidRDefault="0014574D"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E3C09" w:rsidRPr="000973E2">
        <w:rPr>
          <w:b/>
        </w:rPr>
        <w:t>(9)</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m:t>
        </m:r>
        <m:r>
          <w:rPr>
            <w:rFonts w:ascii="Cambria Math" w:hAnsi="Cambria Math"/>
          </w:rPr>
          <m:t>×1</m:t>
        </m:r>
        <m:r>
          <w:rPr>
            <w:rFonts w:ascii="Cambria Math" w:hAnsi="Cambria Math"/>
          </w:rPr>
          <m:t>×105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294EA5F6" w:rsidR="000968D1" w:rsidRDefault="000968D1" w:rsidP="00833F6C">
      <w:r>
        <w:t xml:space="preserve">In order to keep the balance between training and testing, 80% random data will be used in the training process. </w:t>
      </w:r>
      <w:r w:rsidR="005666AD">
        <w:t>After several times of</w:t>
      </w:r>
      <w:r w:rsidR="00EC6C7B">
        <w:t xml:space="preserve"> the </w:t>
      </w:r>
      <w:r>
        <w:t>experiments</w:t>
      </w:r>
      <w:r w:rsidR="00EC6C7B">
        <w:t xml:space="preserve">, </w:t>
      </w:r>
      <w:r>
        <w:t>this paper choose</w:t>
      </w:r>
      <w:r w:rsidR="00A3268C">
        <w:t>s</w:t>
      </w:r>
      <w:r>
        <w:t xml:space="preserve"> </w:t>
      </w:r>
      <w:r w:rsidR="00A3268C">
        <w:t>the hyperparameter as Table 2 displayed.</w:t>
      </w:r>
    </w:p>
    <w:p w14:paraId="4941A6C8" w14:textId="77777777" w:rsidR="008F0DF0" w:rsidRDefault="008F0DF0" w:rsidP="00833F6C"/>
    <w:p w14:paraId="6E7A0936" w14:textId="024C579C"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62AEF">
        <w:rPr>
          <w:sz w:val="18"/>
          <w:szCs w:val="18"/>
        </w:rPr>
        <w:t>Summary of</w:t>
      </w:r>
      <w:r w:rsidRPr="00EE3C09">
        <w:rPr>
          <w:sz w:val="18"/>
          <w:szCs w:val="18"/>
        </w:rPr>
        <w:t xml:space="preserve"> </w:t>
      </w:r>
      <w:r>
        <w:rPr>
          <w:sz w:val="18"/>
          <w:szCs w:val="18"/>
        </w:rPr>
        <w:t>Hyperparameters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3F56D739" w:rsidR="00EC6C7B" w:rsidRDefault="003D4364" w:rsidP="00833F6C">
      <w:r>
        <w:t xml:space="preserve">Adam </w:t>
      </w:r>
      <w:r>
        <w:fldChar w:fldCharType="begin"/>
      </w:r>
      <w:r w:rsidR="00BD20F4">
        <w:instrText xml:space="preserve"> ADDIN EN.CITE &lt;EndNote&gt;&lt;Cite&gt;&lt;Author&gt;Kingma&lt;/Author&gt;&lt;Year&gt;2014&lt;/Year&gt;&lt;RecNum&gt;22&lt;/RecNum&gt;&lt;DisplayText&gt;[11]&lt;/DisplayText&gt;&lt;record&gt;&lt;rec-number&gt;22&lt;/rec-number&gt;&lt;foreign-keys&gt;&lt;key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BD20F4">
        <w:rPr>
          <w:noProof/>
        </w:rPr>
        <w:t>[11]</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2B1EDB">
        <w:instrText xml:space="preserve"> ADDIN EN.CITE &lt;EndNote&gt;&lt;Cite&gt;&lt;Author&gt;Sinha&lt;/Author&gt;&lt;Year&gt;2017&lt;/Year&gt;&lt;RecNum&gt;47&lt;/RecNum&gt;&lt;DisplayText&gt;[12]&lt;/DisplayText&gt;&lt;record&gt;&lt;rec-number&gt;47&lt;/rec-number&gt;&lt;foreign-keys&gt;&lt;key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2B1EDB">
        <w:rPr>
          <w:noProof/>
        </w:rPr>
        <w:t>[12]</w:t>
      </w:r>
      <w:r w:rsidR="002B1EDB">
        <w:fldChar w:fldCharType="end"/>
      </w:r>
      <w:r>
        <w:t>.</w:t>
      </w:r>
      <w:r w:rsidR="003601FB">
        <w:t xml:space="preserve"> </w:t>
      </w:r>
      <w:r w:rsidR="00D31292">
        <w:t>Following Cross-Entropy</w:t>
      </w:r>
      <w:r w:rsidR="0014574D">
        <w:t xml:space="preserve"> </w:t>
      </w:r>
      <w:r w:rsidR="0014574D">
        <w:fldChar w:fldCharType="begin"/>
      </w:r>
      <w:r w:rsidR="0014574D">
        <w:instrText xml:space="preserve"> ADDIN EN.CITE &lt;EndNote&gt;&lt;Cite&gt;&lt;Author&gt;Pytorch.org&lt;/Author&gt;&lt;RecNum&gt;49&lt;/RecNum&gt;&lt;DisplayText&gt;[13]&lt;/DisplayText&gt;&lt;record&gt;&lt;rec-number&gt;49&lt;/rec-number&gt;&lt;foreign-keys&gt;&lt;key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14574D">
        <w:rPr>
          <w:noProof/>
        </w:rPr>
        <w:t>[13]</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ctual target value;</w:t>
      </w:r>
      <w:r w:rsidR="008F6999">
        <w:t xml:space="preserve"> then the gradient </w:t>
      </w:r>
      <w:r w:rsidR="000C4AB0">
        <w:t>of cross-entropy will be calculated through backpropagation and fed to the Adam optimizer</w:t>
      </w:r>
      <w:r w:rsidR="00F71820">
        <w:t>:</w:t>
      </w:r>
    </w:p>
    <w:p w14:paraId="6154D33A" w14:textId="01D39212" w:rsidR="00F71820" w:rsidRPr="0014574D" w:rsidRDefault="00F71820" w:rsidP="00833F6C">
      <w:pPr>
        <w:rPr>
          <w:lang w:val="en-AU" w:eastAsia="zh-CN"/>
        </w:rPr>
      </w:pPr>
      <m:oMathPara>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m:t>
              </m:r>
              <m:r>
                <w:rPr>
                  <w:rFonts w:ascii="Cambria Math" w:hAnsi="Cambria Math"/>
                  <w:lang w:val="en-AU" w:eastAsia="zh-CN"/>
                </w:rPr>
                <m:t>class</m:t>
              </m:r>
            </m:e>
          </m:d>
          <m:r>
            <w:rPr>
              <w:rFonts w:ascii="Cambria Math" w:hAnsi="Cambria Math"/>
              <w:lang w:val="en-AU" w:eastAsia="zh-CN"/>
            </w:rPr>
            <m:t>=</m:t>
          </m:r>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m:oMathPara>
    </w:p>
    <w:p w14:paraId="2C975D0F" w14:textId="4014CAC3" w:rsidR="0014574D" w:rsidRPr="005D7BE7" w:rsidRDefault="0014574D" w:rsidP="00833F6C">
      <w:pPr>
        <w:rPr>
          <w:lang w:val="en-AU" w:eastAsia="zh-CN"/>
        </w:rPr>
      </w:pPr>
      <w:r>
        <w:rPr>
          <w:lang w:val="en-AU" w:eastAsia="zh-CN"/>
        </w:rPr>
        <w:lastRenderedPageBreak/>
        <w:t xml:space="preserve">The x is the output given by the deep learning model, the class is the target </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3759FE70" w14:textId="4E360D0C" w:rsidR="00E63116" w:rsidRDefault="00E63116" w:rsidP="00E63116">
      <w:pPr>
        <w:ind w:firstLine="0"/>
      </w:pPr>
      <w:r>
        <w:t>The accuracy is calculated by F-score</w:t>
      </w:r>
      <w:r w:rsidR="00782CA6">
        <w:t xml:space="preserve"> </w:t>
      </w:r>
      <w:r w:rsidR="00782CA6">
        <w:fldChar w:fldCharType="begin"/>
      </w:r>
      <w:r w:rsidR="0014574D">
        <w:instrText xml:space="preserve"> ADDIN EN.CITE &lt;EndNote&gt;&lt;Cite&gt;&lt;Author&gt;Fawcett&lt;/Author&gt;&lt;Year&gt;2006&lt;/Year&gt;&lt;RecNum&gt;26&lt;/RecNum&gt;&lt;DisplayText&gt;[14]&lt;/DisplayText&gt;&lt;record&gt;&lt;rec-number&gt;26&lt;/rec-number&gt;&lt;foreign-keys&gt;&lt;key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fldChar w:fldCharType="separate"/>
      </w:r>
      <w:r w:rsidR="0014574D">
        <w:rPr>
          <w:noProof/>
        </w:rPr>
        <w:t>[14]</w:t>
      </w:r>
      <w:r w:rsidR="00782CA6">
        <w:fldChar w:fldCharType="end"/>
      </w:r>
      <w:r w:rsidR="00782CA6">
        <w:t>, where “</w:t>
      </w:r>
      <w:proofErr w:type="spellStart"/>
      <w:r w:rsidR="00782CA6">
        <w:t>tp</w:t>
      </w:r>
      <w:proofErr w:type="spellEnd"/>
      <w:r w:rsidR="00782CA6">
        <w:t>” means all prediction and actual values are negative, “</w:t>
      </w:r>
      <w:proofErr w:type="spellStart"/>
      <w:r w:rsidR="00782CA6">
        <w:t>fn</w:t>
      </w:r>
      <w:proofErr w:type="spellEnd"/>
      <w:r w:rsidR="00782CA6">
        <w:t>” means prediction is positive while actual value is negative, “</w:t>
      </w:r>
      <w:proofErr w:type="spellStart"/>
      <w:r w:rsidR="00782CA6">
        <w:t>fp</w:t>
      </w:r>
      <w:proofErr w:type="spellEnd"/>
      <w:r w:rsidR="00782CA6">
        <w:t>” has opposite meaning of “</w:t>
      </w:r>
      <w:proofErr w:type="spellStart"/>
      <w:r w:rsidR="00782CA6">
        <w:t>fn</w:t>
      </w:r>
      <w:proofErr w:type="spellEnd"/>
      <w:r w:rsidR="00782CA6">
        <w:t>”</w:t>
      </w:r>
      <w:r>
        <w:t>:</w:t>
      </w:r>
    </w:p>
    <w:p w14:paraId="011DD359" w14:textId="5596967C" w:rsidR="00E63116" w:rsidRPr="00E63116" w:rsidRDefault="0014574D" w:rsidP="00E63116">
      <w:pPr>
        <w:ind w:firstLine="0"/>
      </w:pPr>
      <m:oMathPara>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m:oMathPara>
    </w:p>
    <w:p w14:paraId="0D17E9F8" w14:textId="6977772E" w:rsidR="00E63116" w:rsidRDefault="00E63116" w:rsidP="00E63116">
      <w:pPr>
        <w:ind w:firstLine="0"/>
      </w:pPr>
    </w:p>
    <w:p w14:paraId="2724005F" w14:textId="2995543B" w:rsidR="00E63116" w:rsidRPr="00E63116" w:rsidRDefault="00E63116" w:rsidP="00E63116">
      <w:pPr>
        <w:ind w:firstLine="0"/>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0CD2B75" w14:textId="3A09010B" w:rsidR="00E63116" w:rsidRDefault="00E63116" w:rsidP="00E63116">
      <w:pPr>
        <w:ind w:firstLine="0"/>
      </w:pPr>
    </w:p>
    <w:p w14:paraId="0679DF29" w14:textId="02A317C8" w:rsidR="00E63116" w:rsidRPr="009B1D59" w:rsidRDefault="00E63116" w:rsidP="00E63116">
      <w:pPr>
        <w:ind w:firstLine="0"/>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3477C8B" w14:textId="67972F74" w:rsidR="002F1EF9" w:rsidRDefault="002F1EF9" w:rsidP="00E63116">
      <w:r w:rsidRPr="009B1D59">
        <w:t xml:space="preserve">. </w:t>
      </w:r>
    </w:p>
    <w:p w14:paraId="0A84C155" w14:textId="77777777" w:rsidR="00833F6C" w:rsidRPr="009A3755" w:rsidRDefault="00833F6C" w:rsidP="00E85A60">
      <w:pPr>
        <w:pStyle w:val="heading10"/>
        <w:outlineLvl w:val="0"/>
      </w:pPr>
      <w:r>
        <w:t>5</w:t>
      </w:r>
      <w:r w:rsidRPr="009A3755">
        <w:t xml:space="preserve">   </w:t>
      </w:r>
      <w:r>
        <w:t>Results and Discussion</w:t>
      </w:r>
    </w:p>
    <w:p w14:paraId="21F99958" w14:textId="77777777" w:rsidR="00833F6C" w:rsidRDefault="00833F6C" w:rsidP="00833F6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7F7C9909"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833F6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lastRenderedPageBreak/>
        <w:t>References</w:t>
      </w:r>
    </w:p>
    <w:p w14:paraId="1EA9D496" w14:textId="5A9ADB15" w:rsidR="0014574D" w:rsidRPr="0014574D" w:rsidRDefault="00941C3B" w:rsidP="0014574D">
      <w:pPr>
        <w:pStyle w:val="EndNoteBibliography"/>
        <w:ind w:left="720" w:hanging="720"/>
        <w:rPr>
          <w:noProof/>
        </w:rPr>
      </w:pPr>
      <w:r>
        <w:fldChar w:fldCharType="begin"/>
      </w:r>
      <w:r>
        <w:instrText xml:space="preserve"> ADDIN EN.REFLIST </w:instrText>
      </w:r>
      <w:r>
        <w:fldChar w:fldCharType="separate"/>
      </w:r>
      <w:r w:rsidR="0014574D" w:rsidRPr="0014574D">
        <w:rPr>
          <w:noProof/>
        </w:rPr>
        <w:t>[1]</w:t>
      </w:r>
      <w:r w:rsidR="0014574D" w:rsidRPr="0014574D">
        <w:rPr>
          <w:noProof/>
        </w:rPr>
        <w:tab/>
        <w:t xml:space="preserve">D. Walawalkar, "Grammatical facial expression recognition using customized deep neural network architecture," </w:t>
      </w:r>
      <w:r w:rsidR="0014574D" w:rsidRPr="0014574D">
        <w:rPr>
          <w:i/>
          <w:noProof/>
        </w:rPr>
        <w:t>ArXiv e-prints</w:t>
      </w:r>
      <w:r w:rsidR="0014574D" w:rsidRPr="0014574D">
        <w:rPr>
          <w:noProof/>
        </w:rPr>
        <w:t>, vol. 1711</w:t>
      </w:r>
      <w:r w:rsidR="0014574D" w:rsidRPr="0014574D">
        <w:rPr>
          <w:i/>
          <w:noProof/>
        </w:rPr>
        <w:t xml:space="preserve">, </w:t>
      </w:r>
      <w:r w:rsidR="0014574D" w:rsidRPr="0014574D">
        <w:rPr>
          <w:noProof/>
        </w:rPr>
        <w:t xml:space="preserve">Accessed on: November 1, 2017Available: </w:t>
      </w:r>
      <w:hyperlink r:id="rId9" w:history="1">
        <w:r w:rsidR="0014574D" w:rsidRPr="0014574D">
          <w:rPr>
            <w:rStyle w:val="Hyperlink"/>
            <w:noProof/>
          </w:rPr>
          <w:t>http://adsabs.harvard.edu/abs/2017arXiv171106303W</w:t>
        </w:r>
      </w:hyperlink>
    </w:p>
    <w:p w14:paraId="31E89BEB" w14:textId="77777777" w:rsidR="0014574D" w:rsidRPr="0014574D" w:rsidRDefault="0014574D" w:rsidP="0014574D">
      <w:pPr>
        <w:pStyle w:val="EndNoteBibliography"/>
        <w:ind w:left="720" w:hanging="720"/>
        <w:rPr>
          <w:noProof/>
        </w:rPr>
      </w:pPr>
      <w:r w:rsidRPr="0014574D">
        <w:rPr>
          <w:noProof/>
        </w:rPr>
        <w:t>[2]</w:t>
      </w:r>
      <w:r w:rsidRPr="0014574D">
        <w:rPr>
          <w:noProof/>
        </w:rPr>
        <w:tab/>
        <w:t xml:space="preserve">F. d. A. Freitas, S. M. Peres, C. A. d. M. Lima, and F. V. Barbosa, </w:t>
      </w:r>
      <w:r w:rsidRPr="0014574D">
        <w:rPr>
          <w:i/>
          <w:noProof/>
        </w:rPr>
        <w:t>Grammatical Facial Expressions Recognition with Machine Learning</w:t>
      </w:r>
      <w:r w:rsidRPr="0014574D">
        <w:rPr>
          <w:noProof/>
        </w:rPr>
        <w:t xml:space="preserve"> (2014). 2014.</w:t>
      </w:r>
    </w:p>
    <w:p w14:paraId="2B643D56" w14:textId="6DB82720" w:rsidR="0014574D" w:rsidRPr="0014574D" w:rsidRDefault="0014574D" w:rsidP="0014574D">
      <w:pPr>
        <w:pStyle w:val="EndNoteBibliography"/>
        <w:ind w:left="720" w:hanging="720"/>
        <w:rPr>
          <w:noProof/>
        </w:rPr>
      </w:pPr>
      <w:r w:rsidRPr="0014574D">
        <w:rPr>
          <w:noProof/>
        </w:rPr>
        <w:t>[3]</w:t>
      </w:r>
      <w:r w:rsidRPr="0014574D">
        <w:rPr>
          <w:noProof/>
        </w:rPr>
        <w:tab/>
        <w:t xml:space="preserve">Microsoft. (2018). </w:t>
      </w:r>
      <w:r w:rsidRPr="0014574D">
        <w:rPr>
          <w:i/>
          <w:noProof/>
        </w:rPr>
        <w:t>Face Tracking</w:t>
      </w:r>
      <w:r w:rsidRPr="0014574D">
        <w:rPr>
          <w:noProof/>
        </w:rPr>
        <w:t xml:space="preserve">. Available: </w:t>
      </w:r>
      <w:hyperlink r:id="rId10" w:history="1">
        <w:r w:rsidRPr="0014574D">
          <w:rPr>
            <w:rStyle w:val="Hyperlink"/>
            <w:noProof/>
          </w:rPr>
          <w:t>https://msdn.microsoft.com/en-us/library/jj130970.aspx</w:t>
        </w:r>
      </w:hyperlink>
    </w:p>
    <w:p w14:paraId="58082E97" w14:textId="77777777" w:rsidR="0014574D" w:rsidRPr="0014574D" w:rsidRDefault="0014574D" w:rsidP="0014574D">
      <w:pPr>
        <w:pStyle w:val="EndNoteBibliography"/>
        <w:ind w:left="720" w:hanging="720"/>
        <w:rPr>
          <w:noProof/>
        </w:rPr>
      </w:pPr>
      <w:r w:rsidRPr="0014574D">
        <w:rPr>
          <w:noProof/>
        </w:rPr>
        <w:t>[4]</w:t>
      </w:r>
      <w:r w:rsidRPr="0014574D">
        <w:rPr>
          <w:noProof/>
        </w:rPr>
        <w:tab/>
        <w:t xml:space="preserve">A. Rius, I. Ruisánchez, M. P. Callao, and F. X. Rius, "Reliability of analytical systems: use of control charts, time series models and recurrent neural networks (RNN)," </w:t>
      </w:r>
      <w:r w:rsidRPr="0014574D">
        <w:rPr>
          <w:i/>
          <w:noProof/>
        </w:rPr>
        <w:t xml:space="preserve">Chemometrics and Intelligent Laboratory Systems, </w:t>
      </w:r>
      <w:r w:rsidRPr="0014574D">
        <w:rPr>
          <w:noProof/>
        </w:rPr>
        <w:t>vol. 40, no. 1, pp. 1-18, 1998/05/01/ 1998.</w:t>
      </w:r>
    </w:p>
    <w:p w14:paraId="41C508C1" w14:textId="77777777" w:rsidR="0014574D" w:rsidRPr="0014574D" w:rsidRDefault="0014574D" w:rsidP="0014574D">
      <w:pPr>
        <w:pStyle w:val="EndNoteBibliography"/>
        <w:ind w:left="720" w:hanging="720"/>
        <w:rPr>
          <w:noProof/>
        </w:rPr>
      </w:pPr>
      <w:r w:rsidRPr="0014574D">
        <w:rPr>
          <w:noProof/>
        </w:rPr>
        <w:t>[5]</w:t>
      </w:r>
      <w:r w:rsidRPr="0014574D">
        <w:rPr>
          <w:noProof/>
        </w:rPr>
        <w:tab/>
        <w:t xml:space="preserve">S. Hochreiter and J. Schmidhuber, </w:t>
      </w:r>
      <w:r w:rsidRPr="0014574D">
        <w:rPr>
          <w:i/>
          <w:noProof/>
        </w:rPr>
        <w:t>Long Short-term Memory</w:t>
      </w:r>
      <w:r w:rsidRPr="0014574D">
        <w:rPr>
          <w:noProof/>
        </w:rPr>
        <w:t>. 1997, pp. 1735-80.</w:t>
      </w:r>
    </w:p>
    <w:p w14:paraId="70191F08" w14:textId="6C7C935D" w:rsidR="0014574D" w:rsidRPr="0014574D" w:rsidRDefault="0014574D" w:rsidP="0014574D">
      <w:pPr>
        <w:pStyle w:val="EndNoteBibliography"/>
        <w:ind w:left="720" w:hanging="720"/>
        <w:rPr>
          <w:noProof/>
        </w:rPr>
      </w:pPr>
      <w:r w:rsidRPr="0014574D">
        <w:rPr>
          <w:noProof/>
        </w:rPr>
        <w:t>[6]</w:t>
      </w:r>
      <w:r w:rsidRPr="0014574D">
        <w:rPr>
          <w:noProof/>
        </w:rPr>
        <w:tab/>
        <w:t xml:space="preserve">F. Freitas, S. Peres, C. Lima, and F. Barbosa. (2014). </w:t>
      </w:r>
      <w:r w:rsidRPr="0014574D">
        <w:rPr>
          <w:i/>
          <w:noProof/>
        </w:rPr>
        <w:t>UCI Machine Learning Repository: Grammatical Facial Expressions Data Set</w:t>
      </w:r>
      <w:r w:rsidRPr="0014574D">
        <w:rPr>
          <w:noProof/>
        </w:rPr>
        <w:t xml:space="preserve">. Available: </w:t>
      </w:r>
      <w:hyperlink r:id="rId11" w:history="1">
        <w:r w:rsidRPr="0014574D">
          <w:rPr>
            <w:rStyle w:val="Hyperlink"/>
            <w:noProof/>
          </w:rPr>
          <w:t>https://archive.ics.uci.edu/ml/datasets/Grammatical+Facial+Expressions</w:t>
        </w:r>
      </w:hyperlink>
      <w:r w:rsidRPr="0014574D">
        <w:rPr>
          <w:noProof/>
        </w:rPr>
        <w:t>.</w:t>
      </w:r>
    </w:p>
    <w:p w14:paraId="21C22F90" w14:textId="77777777" w:rsidR="0014574D" w:rsidRPr="0014574D" w:rsidRDefault="0014574D" w:rsidP="0014574D">
      <w:pPr>
        <w:pStyle w:val="EndNoteBibliography"/>
        <w:ind w:left="720" w:hanging="720"/>
        <w:rPr>
          <w:noProof/>
        </w:rPr>
      </w:pPr>
      <w:r w:rsidRPr="0014574D">
        <w:rPr>
          <w:noProof/>
        </w:rPr>
        <w:t>[7]</w:t>
      </w:r>
      <w:r w:rsidRPr="0014574D">
        <w:rPr>
          <w:noProof/>
        </w:rPr>
        <w:tab/>
        <w:t xml:space="preserve">M. S. Bhuvan, D. V. Rao, S. Jain, T. S. Ashwin, R. M. R. Guddetti, and S. P. Kulgod, "Detection and analysis model for grammatical facial expressions in sign language," in </w:t>
      </w:r>
      <w:r w:rsidRPr="0014574D">
        <w:rPr>
          <w:i/>
          <w:noProof/>
        </w:rPr>
        <w:t>2016 IEEE Region 10 Symposium (TENSYMP)</w:t>
      </w:r>
      <w:r w:rsidRPr="0014574D">
        <w:rPr>
          <w:noProof/>
        </w:rPr>
        <w:t>, 2016, pp. 155-160.</w:t>
      </w:r>
    </w:p>
    <w:p w14:paraId="012111B5" w14:textId="37EFDAE1" w:rsidR="0014574D" w:rsidRPr="0014574D" w:rsidRDefault="0014574D" w:rsidP="0014574D">
      <w:pPr>
        <w:pStyle w:val="EndNoteBibliography"/>
        <w:ind w:left="720" w:hanging="720"/>
        <w:rPr>
          <w:noProof/>
        </w:rPr>
      </w:pPr>
      <w:r w:rsidRPr="0014574D">
        <w:rPr>
          <w:noProof/>
        </w:rPr>
        <w:t>[8]</w:t>
      </w:r>
      <w:r w:rsidRPr="0014574D">
        <w:rPr>
          <w:noProof/>
        </w:rPr>
        <w:tab/>
        <w:t xml:space="preserve">B. Hasani and M. H. Mahoor, "Facial Expression Recognition Using Enhanced Deep 3D Convolutional Neural Networks," </w:t>
      </w:r>
      <w:r w:rsidRPr="0014574D">
        <w:rPr>
          <w:i/>
          <w:noProof/>
        </w:rPr>
        <w:t xml:space="preserve">ArXiv e-prints, </w:t>
      </w:r>
      <w:r w:rsidRPr="0014574D">
        <w:rPr>
          <w:noProof/>
        </w:rPr>
        <w:t xml:space="preserve">Accessed on: May 01, 2017Available: </w:t>
      </w:r>
      <w:hyperlink r:id="rId12" w:history="1">
        <w:r w:rsidRPr="0014574D">
          <w:rPr>
            <w:rStyle w:val="Hyperlink"/>
            <w:noProof/>
          </w:rPr>
          <w:t>https://ui.adsabs.harvard.edu/#abs/2017arXiv170507871H</w:t>
        </w:r>
      </w:hyperlink>
    </w:p>
    <w:p w14:paraId="42A4D115" w14:textId="77777777" w:rsidR="0014574D" w:rsidRPr="0014574D" w:rsidRDefault="0014574D" w:rsidP="0014574D">
      <w:pPr>
        <w:pStyle w:val="EndNoteBibliography"/>
        <w:ind w:left="720" w:hanging="720"/>
        <w:rPr>
          <w:noProof/>
        </w:rPr>
      </w:pPr>
      <w:r w:rsidRPr="0014574D">
        <w:rPr>
          <w:noProof/>
        </w:rPr>
        <w:t>[9]</w:t>
      </w:r>
      <w:r w:rsidRPr="0014574D">
        <w:rPr>
          <w:noProof/>
        </w:rPr>
        <w:tab/>
        <w:t>A. Graves, J. Schmidhuber, C. Mayer, M. Wimmer, and B. Radig, "Facial Expression Recognition with Recurrent Neural Networks," 2008.</w:t>
      </w:r>
    </w:p>
    <w:p w14:paraId="4ACC504A" w14:textId="77777777" w:rsidR="0014574D" w:rsidRPr="0014574D" w:rsidRDefault="0014574D" w:rsidP="0014574D">
      <w:pPr>
        <w:pStyle w:val="EndNoteBibliography"/>
        <w:ind w:left="720" w:hanging="720"/>
        <w:rPr>
          <w:noProof/>
        </w:rPr>
      </w:pPr>
      <w:r w:rsidRPr="0014574D">
        <w:rPr>
          <w:noProof/>
        </w:rPr>
        <w:t>[10]</w:t>
      </w:r>
      <w:r w:rsidRPr="0014574D">
        <w:rPr>
          <w:noProof/>
        </w:rPr>
        <w:tab/>
        <w:t xml:space="preserve">S. Evan and S. Michael, "Implementation of facial recognition with Microsoft Kinect v2 sensor for patient verification," </w:t>
      </w:r>
      <w:r w:rsidRPr="0014574D">
        <w:rPr>
          <w:i/>
          <w:noProof/>
        </w:rPr>
        <w:t xml:space="preserve">Medical Physics, </w:t>
      </w:r>
      <w:r w:rsidRPr="0014574D">
        <w:rPr>
          <w:noProof/>
        </w:rPr>
        <w:t>vol. 44, no. 6, pp. 2391-2399, 2017.</w:t>
      </w:r>
    </w:p>
    <w:p w14:paraId="43E9B460" w14:textId="592E2BFF" w:rsidR="0014574D" w:rsidRPr="0014574D" w:rsidRDefault="0014574D" w:rsidP="0014574D">
      <w:pPr>
        <w:pStyle w:val="EndNoteBibliography"/>
        <w:ind w:left="720" w:hanging="720"/>
        <w:rPr>
          <w:noProof/>
        </w:rPr>
      </w:pPr>
      <w:r w:rsidRPr="0014574D">
        <w:rPr>
          <w:noProof/>
        </w:rPr>
        <w:t>[11]</w:t>
      </w:r>
      <w:r w:rsidRPr="0014574D">
        <w:rPr>
          <w:noProof/>
        </w:rPr>
        <w:tab/>
        <w:t xml:space="preserve">D. P. Kingma and J. Ba, "Adam: A Method for Stochastic Optimization," </w:t>
      </w:r>
      <w:r w:rsidRPr="0014574D">
        <w:rPr>
          <w:i/>
          <w:noProof/>
        </w:rPr>
        <w:t xml:space="preserve">ArXiv e-prints, </w:t>
      </w:r>
      <w:r w:rsidRPr="0014574D">
        <w:rPr>
          <w:noProof/>
        </w:rPr>
        <w:t xml:space="preserve">Accessed on: December 01, 2014Available: </w:t>
      </w:r>
      <w:hyperlink r:id="rId13" w:history="1">
        <w:r w:rsidRPr="0014574D">
          <w:rPr>
            <w:rStyle w:val="Hyperlink"/>
            <w:noProof/>
          </w:rPr>
          <w:t>https://ui.adsabs.harvard.edu/#abs/2014arXiv1412.6980K</w:t>
        </w:r>
      </w:hyperlink>
    </w:p>
    <w:p w14:paraId="5792B716" w14:textId="709BF998" w:rsidR="0014574D" w:rsidRPr="0014574D" w:rsidRDefault="0014574D" w:rsidP="0014574D">
      <w:pPr>
        <w:pStyle w:val="EndNoteBibliography"/>
        <w:ind w:left="720" w:hanging="720"/>
        <w:rPr>
          <w:noProof/>
        </w:rPr>
      </w:pPr>
      <w:r w:rsidRPr="0014574D">
        <w:rPr>
          <w:noProof/>
        </w:rPr>
        <w:t>[12]</w:t>
      </w:r>
      <w:r w:rsidRPr="0014574D">
        <w:rPr>
          <w:noProof/>
        </w:rPr>
        <w:tab/>
        <w:t xml:space="preserve">A. Sinha, M. Sarkar, A. Mukherjee, and B. Krishnamurthy, "Introspection: Accelerating Neural Network Training By Learning Weight Evolution," </w:t>
      </w:r>
      <w:r w:rsidRPr="0014574D">
        <w:rPr>
          <w:i/>
          <w:noProof/>
        </w:rPr>
        <w:t xml:space="preserve">ArXiv e-prints, </w:t>
      </w:r>
      <w:r w:rsidRPr="0014574D">
        <w:rPr>
          <w:noProof/>
        </w:rPr>
        <w:t xml:space="preserve">Accessed on: April 01, 2017Available: </w:t>
      </w:r>
      <w:hyperlink r:id="rId14" w:history="1">
        <w:r w:rsidRPr="0014574D">
          <w:rPr>
            <w:rStyle w:val="Hyperlink"/>
            <w:noProof/>
          </w:rPr>
          <w:t>https://ui.adsabs.harvard.edu/#abs/2017arXiv170404959S</w:t>
        </w:r>
      </w:hyperlink>
    </w:p>
    <w:p w14:paraId="3CEE7C9C" w14:textId="77777777" w:rsidR="0014574D" w:rsidRPr="0014574D" w:rsidRDefault="0014574D" w:rsidP="0014574D">
      <w:pPr>
        <w:pStyle w:val="EndNoteBibliography"/>
        <w:ind w:left="720" w:hanging="720"/>
        <w:rPr>
          <w:noProof/>
        </w:rPr>
      </w:pPr>
      <w:r w:rsidRPr="0014574D">
        <w:rPr>
          <w:noProof/>
        </w:rPr>
        <w:t>[13]</w:t>
      </w:r>
      <w:r w:rsidRPr="0014574D">
        <w:rPr>
          <w:noProof/>
        </w:rPr>
        <w:tab/>
        <w:t>Pytorch.org, "torch.nn — PyTorch master documentation."</w:t>
      </w:r>
    </w:p>
    <w:p w14:paraId="415E078B" w14:textId="77777777" w:rsidR="0014574D" w:rsidRPr="0014574D" w:rsidRDefault="0014574D" w:rsidP="0014574D">
      <w:pPr>
        <w:pStyle w:val="EndNoteBibliography"/>
        <w:ind w:left="720" w:hanging="720"/>
        <w:rPr>
          <w:noProof/>
        </w:rPr>
      </w:pPr>
      <w:r w:rsidRPr="0014574D">
        <w:rPr>
          <w:noProof/>
        </w:rPr>
        <w:t>[14]</w:t>
      </w:r>
      <w:r w:rsidRPr="0014574D">
        <w:rPr>
          <w:noProof/>
        </w:rPr>
        <w:tab/>
        <w:t xml:space="preserve">T. Fawcett, "An introduction to ROC analysis," </w:t>
      </w:r>
      <w:r w:rsidRPr="0014574D">
        <w:rPr>
          <w:i/>
          <w:noProof/>
        </w:rPr>
        <w:t xml:space="preserve">Pattern Recogn. Lett., </w:t>
      </w:r>
      <w:r w:rsidRPr="0014574D">
        <w:rPr>
          <w:noProof/>
        </w:rPr>
        <w:t>vol. 27, no. 8, pp. 861-874, 2006.</w:t>
      </w:r>
    </w:p>
    <w:p w14:paraId="0631272E" w14:textId="242F3056"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lastRenderedPageBreak/>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C6136">
      <w:pPr>
        <w:pStyle w:val="p1a"/>
      </w:pPr>
    </w:p>
    <w:p w14:paraId="2D9EDAF3" w14:textId="59D12361"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E8BCB" w14:textId="77777777" w:rsidR="000932A5" w:rsidRDefault="000932A5">
      <w:r>
        <w:separator/>
      </w:r>
    </w:p>
  </w:endnote>
  <w:endnote w:type="continuationSeparator" w:id="0">
    <w:p w14:paraId="5C0CB0F5" w14:textId="77777777" w:rsidR="000932A5" w:rsidRDefault="0009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8D9D0" w14:textId="77777777" w:rsidR="000932A5" w:rsidRDefault="000932A5">
      <w:r>
        <w:separator/>
      </w:r>
    </w:p>
  </w:footnote>
  <w:footnote w:type="continuationSeparator" w:id="0">
    <w:p w14:paraId="334F793E" w14:textId="77777777" w:rsidR="000932A5" w:rsidRDefault="00093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17&lt;/item&gt;&lt;item&gt;22&lt;/item&gt;&lt;item&gt;26&lt;/item&gt;&lt;item&gt;28&lt;/item&gt;&lt;item&gt;33&lt;/item&gt;&lt;item&gt;34&lt;/item&gt;&lt;item&gt;38&lt;/item&gt;&lt;item&gt;41&lt;/item&gt;&lt;item&gt;42&lt;/item&gt;&lt;item&gt;45&lt;/item&gt;&lt;item&gt;47&lt;/item&gt;&lt;item&gt;49&lt;/item&gt;&lt;/record-ids&gt;&lt;/item&gt;&lt;/Libraries&gt;"/>
  </w:docVars>
  <w:rsids>
    <w:rsidRoot w:val="009942DC"/>
    <w:rsid w:val="000003B1"/>
    <w:rsid w:val="000023E3"/>
    <w:rsid w:val="00006E9D"/>
    <w:rsid w:val="00026CCF"/>
    <w:rsid w:val="000273F3"/>
    <w:rsid w:val="00040D46"/>
    <w:rsid w:val="00050DFE"/>
    <w:rsid w:val="00053BA6"/>
    <w:rsid w:val="00070AA5"/>
    <w:rsid w:val="000932A5"/>
    <w:rsid w:val="00094440"/>
    <w:rsid w:val="000968D1"/>
    <w:rsid w:val="000973E2"/>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D3036"/>
    <w:rsid w:val="001E2B8E"/>
    <w:rsid w:val="001F6EF5"/>
    <w:rsid w:val="00203798"/>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E2B0B"/>
    <w:rsid w:val="004072A8"/>
    <w:rsid w:val="00422C0D"/>
    <w:rsid w:val="0043198F"/>
    <w:rsid w:val="00445C33"/>
    <w:rsid w:val="004846C7"/>
    <w:rsid w:val="004A4504"/>
    <w:rsid w:val="004C31AA"/>
    <w:rsid w:val="005154B2"/>
    <w:rsid w:val="0051671F"/>
    <w:rsid w:val="00533532"/>
    <w:rsid w:val="00552B94"/>
    <w:rsid w:val="005666AD"/>
    <w:rsid w:val="00586CFF"/>
    <w:rsid w:val="00592587"/>
    <w:rsid w:val="005B1E72"/>
    <w:rsid w:val="005B3E4B"/>
    <w:rsid w:val="005B74BA"/>
    <w:rsid w:val="005C3C79"/>
    <w:rsid w:val="005D7BE7"/>
    <w:rsid w:val="005F632A"/>
    <w:rsid w:val="00600440"/>
    <w:rsid w:val="00611946"/>
    <w:rsid w:val="00614FE4"/>
    <w:rsid w:val="006225EA"/>
    <w:rsid w:val="006315B2"/>
    <w:rsid w:val="0063633B"/>
    <w:rsid w:val="00652234"/>
    <w:rsid w:val="00657488"/>
    <w:rsid w:val="006659BC"/>
    <w:rsid w:val="006661A2"/>
    <w:rsid w:val="0067477F"/>
    <w:rsid w:val="00685E19"/>
    <w:rsid w:val="00690C37"/>
    <w:rsid w:val="006962C6"/>
    <w:rsid w:val="006A1BD8"/>
    <w:rsid w:val="006B13EC"/>
    <w:rsid w:val="006F6EA3"/>
    <w:rsid w:val="0070520C"/>
    <w:rsid w:val="007131A7"/>
    <w:rsid w:val="00717C00"/>
    <w:rsid w:val="007309D0"/>
    <w:rsid w:val="00782CA6"/>
    <w:rsid w:val="00787C6A"/>
    <w:rsid w:val="007C6CE4"/>
    <w:rsid w:val="007F17A7"/>
    <w:rsid w:val="00806FC5"/>
    <w:rsid w:val="008333CD"/>
    <w:rsid w:val="00833F6C"/>
    <w:rsid w:val="00866A61"/>
    <w:rsid w:val="00870DD5"/>
    <w:rsid w:val="008965AF"/>
    <w:rsid w:val="008A0799"/>
    <w:rsid w:val="008F0DF0"/>
    <w:rsid w:val="008F4E62"/>
    <w:rsid w:val="008F6999"/>
    <w:rsid w:val="00914605"/>
    <w:rsid w:val="009236DF"/>
    <w:rsid w:val="00941C3B"/>
    <w:rsid w:val="00946D49"/>
    <w:rsid w:val="0095068A"/>
    <w:rsid w:val="00952EDD"/>
    <w:rsid w:val="00955357"/>
    <w:rsid w:val="0097098C"/>
    <w:rsid w:val="00971AD8"/>
    <w:rsid w:val="009942DC"/>
    <w:rsid w:val="009B1D59"/>
    <w:rsid w:val="009C24ED"/>
    <w:rsid w:val="009F4136"/>
    <w:rsid w:val="00A02F42"/>
    <w:rsid w:val="00A06878"/>
    <w:rsid w:val="00A3268C"/>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F029B"/>
    <w:rsid w:val="00C1659C"/>
    <w:rsid w:val="00C16F71"/>
    <w:rsid w:val="00C21DCE"/>
    <w:rsid w:val="00C23B00"/>
    <w:rsid w:val="00C23EA1"/>
    <w:rsid w:val="00C27BCB"/>
    <w:rsid w:val="00C52F84"/>
    <w:rsid w:val="00C951AE"/>
    <w:rsid w:val="00C95EFA"/>
    <w:rsid w:val="00CA64AB"/>
    <w:rsid w:val="00CB2306"/>
    <w:rsid w:val="00CC06CD"/>
    <w:rsid w:val="00CE5376"/>
    <w:rsid w:val="00CF0521"/>
    <w:rsid w:val="00CF3BCD"/>
    <w:rsid w:val="00D14F9A"/>
    <w:rsid w:val="00D15D54"/>
    <w:rsid w:val="00D25733"/>
    <w:rsid w:val="00D26B9D"/>
    <w:rsid w:val="00D31292"/>
    <w:rsid w:val="00D36147"/>
    <w:rsid w:val="00D46E59"/>
    <w:rsid w:val="00D500D0"/>
    <w:rsid w:val="00D8313E"/>
    <w:rsid w:val="00DC2926"/>
    <w:rsid w:val="00DC4DB3"/>
    <w:rsid w:val="00DD4817"/>
    <w:rsid w:val="00DD625B"/>
    <w:rsid w:val="00DE143C"/>
    <w:rsid w:val="00E3194C"/>
    <w:rsid w:val="00E3380D"/>
    <w:rsid w:val="00E525A5"/>
    <w:rsid w:val="00E62AEF"/>
    <w:rsid w:val="00E63116"/>
    <w:rsid w:val="00E85A60"/>
    <w:rsid w:val="00EA1D86"/>
    <w:rsid w:val="00EA3C57"/>
    <w:rsid w:val="00EC6C7B"/>
    <w:rsid w:val="00ED10ED"/>
    <w:rsid w:val="00EE3C09"/>
    <w:rsid w:val="00F00716"/>
    <w:rsid w:val="00F05A3A"/>
    <w:rsid w:val="00F26A39"/>
    <w:rsid w:val="00F35037"/>
    <w:rsid w:val="00F367A6"/>
    <w:rsid w:val="00F36F61"/>
    <w:rsid w:val="00F54FCB"/>
    <w:rsid w:val="00F56A05"/>
    <w:rsid w:val="00F65CC6"/>
    <w:rsid w:val="00F71820"/>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adsabs.harvard.edu/#abs/2014arXiv1412.6980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abs/2017arXiv170507871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Grammatical+Facial+Express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jj130970.aspx" TargetMode="External"/><Relationship Id="rId4" Type="http://schemas.openxmlformats.org/officeDocument/2006/relationships/settings" Target="settings.xml"/><Relationship Id="rId9" Type="http://schemas.openxmlformats.org/officeDocument/2006/relationships/hyperlink" Target="http://adsabs.harvard.edu/abs/2017arXiv171106303W" TargetMode="External"/><Relationship Id="rId14" Type="http://schemas.openxmlformats.org/officeDocument/2006/relationships/hyperlink" Target="https://ui.adsabs.harvard.edu/#abs/2017arXiv170404959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A623CC-B775-9343-A92C-099C04CD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502</TotalTime>
  <Pages>8</Pages>
  <Words>4779</Words>
  <Characters>27244</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31960</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14</cp:revision>
  <cp:lastPrinted>2006-05-07T08:03:00Z</cp:lastPrinted>
  <dcterms:created xsi:type="dcterms:W3CDTF">2018-05-22T07:11:00Z</dcterms:created>
  <dcterms:modified xsi:type="dcterms:W3CDTF">2018-05-24T12:19:00Z</dcterms:modified>
</cp:coreProperties>
</file>