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Quarterly Business Report</w:t>
      </w:r>
    </w:p>
    <w:p>
      <w:pPr>
        <w:jc w:val="center"/>
      </w:pPr>
      <w:r>
        <w:rPr>
          <w:color w:val="666666"/>
          <w:sz w:val="24"/>
        </w:rPr>
        <w:t>Q1 2026 - Confidential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 xml:space="preserve">Revenue grew </w:t>
      </w:r>
      <w:r>
        <w:rPr>
          <w:b/>
        </w:rPr>
        <w:t>23% year-over-year</w:t>
      </w:r>
      <w:r>
        <w:t>, reaching $4.2M in Q1 2026 with improved customer retention.</w:t>
      </w:r>
    </w:p>
    <w:p>
      <w:pPr>
        <w:pStyle w:val="Heading2"/>
      </w:pPr>
      <w:r>
        <w:t>Key Highlights</w:t>
      </w:r>
    </w:p>
    <w:p>
      <w:pPr>
        <w:pStyle w:val="ListBullet"/>
      </w:pPr>
      <w:r>
        <w:t>Revenue: $4.2M (+23% YoY)</w:t>
      </w:r>
    </w:p>
    <w:p>
      <w:pPr>
        <w:pStyle w:val="ListBullet"/>
      </w:pPr>
      <w:r>
        <w:t>New customers: 847</w:t>
      </w:r>
    </w:p>
    <w:p>
      <w:pPr>
        <w:pStyle w:val="ListBullet"/>
      </w:pPr>
      <w:r>
        <w:t>Churn rate: 2.1% (down from 3.4%)</w:t>
      </w:r>
    </w:p>
    <w:p>
      <w:pPr>
        <w:pStyle w:val="Heading2"/>
      </w:pPr>
      <w:r>
        <w:t>Priorities for Q2</w:t>
      </w:r>
    </w:p>
    <w:p>
      <w:pPr>
        <w:pStyle w:val="ListNumber"/>
      </w:pPr>
      <w:r>
        <w:t>Launch enterprise tier</w:t>
      </w:r>
    </w:p>
    <w:p>
      <w:pPr>
        <w:pStyle w:val="ListNumber"/>
      </w:pPr>
      <w:r>
        <w:t>Hire 3 senior engineers</w:t>
      </w:r>
    </w:p>
    <w:p>
      <w:pPr>
        <w:pStyle w:val="ListNumber"/>
      </w:pPr>
      <w:r>
        <w:t>Expand to EU market</w:t>
      </w:r>
    </w:p>
    <w:p>
      <w:pPr>
        <w:pStyle w:val="Heading1"/>
      </w:pPr>
      <w:r>
        <w:t>Financial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268"/>
          </w:tcPr>
          <w:p>
            <w:r>
              <w:rPr>
                <w:b/>
              </w:rPr>
              <w:t>Q1 2025</w:t>
            </w:r>
          </w:p>
        </w:tc>
        <w:tc>
          <w:tcPr>
            <w:tcW w:type="dxa" w:w="2268"/>
          </w:tcPr>
          <w:p>
            <w:r>
              <w:rPr>
                <w:b/>
              </w:rPr>
              <w:t>Q1 2026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268"/>
          </w:tcPr>
          <w:p>
            <w:r>
              <w:t>Revenue</w:t>
            </w:r>
          </w:p>
        </w:tc>
        <w:tc>
          <w:tcPr>
            <w:tcW w:type="dxa" w:w="2268"/>
          </w:tcPr>
          <w:p>
            <w:r>
              <w:t>$3.4M</w:t>
            </w:r>
          </w:p>
        </w:tc>
        <w:tc>
          <w:tcPr>
            <w:tcW w:type="dxa" w:w="2268"/>
          </w:tcPr>
          <w:p>
            <w:r>
              <w:t>$4.2M</w:t>
            </w:r>
          </w:p>
        </w:tc>
        <w:tc>
          <w:tcPr>
            <w:tcW w:type="dxa" w:w="2268"/>
          </w:tcPr>
          <w:p>
            <w:r>
              <w:t>+23%</w:t>
            </w:r>
          </w:p>
        </w:tc>
      </w:tr>
      <w:tr>
        <w:tc>
          <w:tcPr>
            <w:tcW w:type="dxa" w:w="2268"/>
          </w:tcPr>
          <w:p>
            <w:r>
              <w:t>Customers</w:t>
            </w:r>
          </w:p>
        </w:tc>
        <w:tc>
          <w:tcPr>
            <w:tcW w:type="dxa" w:w="2268"/>
          </w:tcPr>
          <w:p>
            <w:r>
              <w:t>2,140</w:t>
            </w:r>
          </w:p>
        </w:tc>
        <w:tc>
          <w:tcPr>
            <w:tcW w:type="dxa" w:w="2268"/>
          </w:tcPr>
          <w:p>
            <w:r>
              <w:t>2,987</w:t>
            </w:r>
          </w:p>
        </w:tc>
        <w:tc>
          <w:tcPr>
            <w:tcW w:type="dxa" w:w="2268"/>
          </w:tcPr>
          <w:p>
            <w:r>
              <w:t>+40%</w:t>
            </w:r>
          </w:p>
        </w:tc>
      </w:tr>
      <w:tr>
        <w:tc>
          <w:tcPr>
            <w:tcW w:type="dxa" w:w="2268"/>
          </w:tcPr>
          <w:p>
            <w:r>
              <w:t>MRR</w:t>
            </w:r>
          </w:p>
        </w:tc>
        <w:tc>
          <w:tcPr>
            <w:tcW w:type="dxa" w:w="2268"/>
          </w:tcPr>
          <w:p>
            <w:r>
              <w:t>$283K</w:t>
            </w:r>
          </w:p>
        </w:tc>
        <w:tc>
          <w:tcPr>
            <w:tcW w:type="dxa" w:w="2268"/>
          </w:tcPr>
          <w:p>
            <w:r>
              <w:t>$350K</w:t>
            </w:r>
          </w:p>
        </w:tc>
        <w:tc>
          <w:tcPr>
            <w:tcW w:type="dxa" w:w="2268"/>
          </w:tcPr>
          <w:p>
            <w:r>
              <w:t>+24%</w:t>
            </w:r>
          </w:p>
        </w:tc>
      </w:tr>
      <w:tr>
        <w:tc>
          <w:tcPr>
            <w:tcW w:type="dxa" w:w="2268"/>
          </w:tcPr>
          <w:p>
            <w:r>
              <w:t>Churn</w:t>
            </w:r>
          </w:p>
        </w:tc>
        <w:tc>
          <w:tcPr>
            <w:tcW w:type="dxa" w:w="2268"/>
          </w:tcPr>
          <w:p>
            <w:r>
              <w:t>3.4%</w:t>
            </w:r>
          </w:p>
        </w:tc>
        <w:tc>
          <w:tcPr>
            <w:tcW w:type="dxa" w:w="2268"/>
          </w:tcPr>
          <w:p>
            <w:r>
              <w:t>2.1%</w:t>
            </w:r>
          </w:p>
        </w:tc>
        <w:tc>
          <w:tcPr>
            <w:tcW w:type="dxa" w:w="2268"/>
          </w:tcPr>
          <w:p>
            <w:r>
              <w:t>-38%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99999"/>
        <w:sz w:val="16"/>
      </w:rPr>
      <w:t>Company Inc.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