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Pruebas de aceptación </w:t>
      </w:r>
      <w:r>
        <w:rPr>
          <w:rFonts w:ascii="Calibri" w:hAnsi="Calibri" w:cs="Calibri" w:eastAsia="Calibri"/>
          <w:color w:val="auto"/>
          <w:spacing w:val="0"/>
          <w:position w:val="0"/>
          <w:sz w:val="56"/>
          <w:shd w:fill="auto" w:val="clear"/>
        </w:rPr>
        <w:t xml:space="preserve">— SlotMachine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Ciclo 2 </w:t>
      </w: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— DOPO-POOB, Escuela Colombiana de Ingenier</w:t>
      </w:r>
      <w:r>
        <w:rPr>
          <w:rFonts w:ascii="Calibri" w:hAnsi="Calibri" w:cs="Calibri" w:eastAsia="Calibri"/>
          <w:color w:val="444444"/>
          <w:spacing w:val="0"/>
          <w:position w:val="0"/>
          <w:sz w:val="24"/>
          <w:shd w:fill="auto" w:val="clear"/>
        </w:rPr>
        <w:t xml:space="preserve">ía</w:t>
      </w:r>
    </w:p>
    <w:p>
      <w:pPr>
        <w:spacing w:before="0" w:after="30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666666"/>
          <w:spacing w:val="0"/>
          <w:position w:val="0"/>
          <w:sz w:val="20"/>
          <w:shd w:fill="auto" w:val="clear"/>
        </w:rPr>
        <w:t xml:space="preserve">Equipo: Ardila Gonzales, Mora Casas</w:t>
      </w:r>
    </w:p>
    <w:p>
      <w:pPr>
        <w:spacing w:before="30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Prueba de aceptación 1 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— Fijar una rueda la protege de (casi) todo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Precondiciones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Máquina nueva, visible.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ruedas agregadas (posiciones 1, 2, 3).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Catálogo con 3 símbolos: red, blue, green.</w:t>
      </w:r>
    </w:p>
    <w:p>
      <w:pPr>
        <w:numPr>
          <w:ilvl w:val="0"/>
          <w:numId w:val="5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Configuración inicial forzada con spin(new String[]{"red","blue","green"}), para saber exactamente qué hay en cada rueda.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Pasos y resultado esperado</w:t>
      </w:r>
    </w:p>
    <w:tbl>
      <w:tblPr/>
      <w:tblGrid>
        <w:gridCol w:w="600"/>
        <w:gridCol w:w="4200"/>
        <w:gridCol w:w="4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Acción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lock(1)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true. La rueda 1 se ve marcada como fija (cuadro rojo alrededor del marco).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spin(1)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rueda 1 sigue mostrando red.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spin(1, 3)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rueda 1 sigue mostrando red.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placeSymbol(1, "green")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rueda 1 sigue mostrando red (no se abre selector).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swap(1, 2)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configuración sigue {red, blue, green}: ni la rueda 1 ni la 2 cambiaron de posición.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6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delWheel(1)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máquina sigue con 3 ruedas.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7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spin()  (girar toda la máquina)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true. La rueda 1 no cambia (sigue red); las ruedas 2 y 3 sí giran libremente.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8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unlock(1)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true. Desaparece el cuadro rojo de la rueda 1.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9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swap(1, 2)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true. Ahora sí se intercambian las ruedas 1 y 2.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Conclusión que se demuestra: una rueda fija es intocable desde cualquier operación que la modifique a ella (girar, rotar por pasos, cambiar símbolo, intercambiar, eliminar), pero no bloquea el resto de la máquina; y unlock devuelve el control por completo.</w:t>
      </w:r>
    </w:p>
    <w:p>
      <w:pPr>
        <w:spacing w:before="300" w:after="12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Prueba de aceptación 2 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— Rotar por pasos (visualizaci</w:t>
      </w:r>
      <w:r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  <w:t xml:space="preserve">ón) y dejar un jackpot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Precondiciones</w:t>
      </w:r>
    </w:p>
    <w:p>
      <w:pPr>
        <w:numPr>
          <w:ilvl w:val="0"/>
          <w:numId w:val="3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Máquina nueva, visible.</w:t>
      </w:r>
    </w:p>
    <w:p>
      <w:pPr>
        <w:numPr>
          <w:ilvl w:val="0"/>
          <w:numId w:val="3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 ruedas agregadas.</w:t>
      </w:r>
    </w:p>
    <w:p>
      <w:pPr>
        <w:numPr>
          <w:ilvl w:val="0"/>
          <w:numId w:val="3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Catálogo con 3 símbolos, en este orden: red (índice 0), blue (índice 1), green (índice 2).</w:t>
      </w:r>
    </w:p>
    <w:p>
      <w:pPr>
        <w:numPr>
          <w:ilvl w:val="0"/>
          <w:numId w:val="32"/>
        </w:numPr>
        <w:spacing w:before="0" w:after="8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placeSymbol(1, "red") para dejar la rueda 1 en un símbolo conocido.</w:t>
      </w:r>
    </w:p>
    <w:p>
      <w:pPr>
        <w:spacing w:before="200" w:after="10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</w:pPr>
      <w:r>
        <w:rPr>
          <w:rFonts w:ascii="Calibri" w:hAnsi="Calibri" w:cs="Calibri" w:eastAsia="Calibri"/>
          <w:color w:val="2E74B5"/>
          <w:spacing w:val="0"/>
          <w:position w:val="0"/>
          <w:sz w:val="26"/>
          <w:shd w:fill="auto" w:val="clear"/>
        </w:rPr>
        <w:t xml:space="preserve">Pasos y resultado esperado</w:t>
      </w:r>
    </w:p>
    <w:tbl>
      <w:tblPr/>
      <w:tblGrid>
        <w:gridCol w:w="600"/>
        <w:gridCol w:w="4200"/>
        <w:gridCol w:w="4560"/>
      </w:tblGrid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#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Acción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e8e8e8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0"/>
                <w:shd w:fill="auto" w:val="clear"/>
              </w:rPr>
              <w:t xml:space="preserve">Resultado esperado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1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spin(1, 4)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Con la máquina visible, se ve la rueda 1 pasar símbolo por símbolo (con pausa entre cada uno) en vez de saltar directo al resultado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—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demuestra el requisito de usabilidad. Con 3 s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ímbolos y 4 pasos, da la vuelta una vez: termina en blue (índice 1). ok() == true.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2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spin(1, -2)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Rota hacia atrás, cíclicamente. Desde blue (índice 1), retrocede 2 </w:t>
            </w:r>
            <w:r>
              <w:rPr>
                <w:rFonts w:ascii="Cambria Math" w:hAnsi="Cambria Math" w:cs="Cambria Math" w:eastAsia="Cambria Math"/>
                <w:color w:val="auto"/>
                <w:spacing w:val="0"/>
                <w:position w:val="0"/>
                <w:sz w:val="20"/>
                <w:shd w:fill="auto" w:val="clear"/>
              </w:rPr>
              <w:t xml:space="preserve">→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 green (índice 2). ok() == true.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3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spin(new String[]{"purple","blue","green"})  (color que no existe)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false. La operación es todo o nada: ninguna rueda cambia.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4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spin(new String[]{"green","green","green"})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ok() == true. Las 3 ruedas quedan en green.</w:t>
            </w:r>
          </w:p>
        </w:tc>
      </w:tr>
      <w:tr>
        <w:trPr>
          <w:trHeight w:val="1" w:hRule="atLeast"/>
          <w:jc w:val="left"/>
        </w:trPr>
        <w:tc>
          <w:tcPr>
            <w:tcW w:w="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5</w:t>
            </w:r>
          </w:p>
        </w:tc>
        <w:tc>
          <w:tcPr>
            <w:tcW w:w="42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isJackpot()</w:t>
            </w:r>
          </w:p>
        </w:tc>
        <w:tc>
          <w:tcPr>
            <w:tcW w:w="45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0" w:type="dxa"/>
              <w:right w:w="100" w:type="dxa"/>
            </w:tcMar>
            <w:vAlign w:val="center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0"/>
                <w:shd w:fill="auto" w:val="clear"/>
              </w:rPr>
              <w:t xml:space="preserve">Devuelve true. Visualmente, las 3 ruedas quedan resaltadas (marco dorado).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2E74B5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i/>
          <w:color w:val="auto"/>
          <w:spacing w:val="0"/>
          <w:position w:val="0"/>
          <w:sz w:val="22"/>
          <w:shd w:fill="auto" w:val="clear"/>
        </w:rPr>
        <w:t xml:space="preserve">Conclusión que se demuestra: spin(wheel, steps) avanza/retrocede cíclicamente dentro del catálogo mostrando cada paso intermedio cuando el simulador está visible; spin(setSymbols) deja la máquina en una configuración exacta de forma todo-o-nada, y permite construir un jackpot que la máquina detecta sola.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num w:numId="5">
    <w:abstractNumId w:val="6"/>
  </w:num>
  <w:num w:numId="3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