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E8FD" w14:textId="77777777" w:rsidR="00C10ED6" w:rsidRDefault="00C10ED6" w:rsidP="00C10ED6">
      <w:pPr>
        <w:spacing w:line="480" w:lineRule="auto"/>
        <w:jc w:val="center"/>
        <w:rPr>
          <w:b/>
          <w:bCs/>
        </w:rPr>
      </w:pPr>
    </w:p>
    <w:p w14:paraId="74BC06FA" w14:textId="77777777" w:rsidR="00C10ED6" w:rsidRDefault="00C10ED6" w:rsidP="00C10ED6">
      <w:pPr>
        <w:spacing w:line="480" w:lineRule="auto"/>
        <w:rPr>
          <w:b/>
          <w:bCs/>
        </w:rPr>
      </w:pPr>
    </w:p>
    <w:p w14:paraId="6B4F9208" w14:textId="77777777" w:rsidR="00C10ED6" w:rsidRDefault="00C10ED6" w:rsidP="00C10ED6">
      <w:pPr>
        <w:spacing w:line="480" w:lineRule="auto"/>
        <w:rPr>
          <w:b/>
          <w:bCs/>
        </w:rPr>
      </w:pPr>
    </w:p>
    <w:p w14:paraId="76DBC643" w14:textId="77777777" w:rsidR="00C10ED6" w:rsidRDefault="00C10ED6" w:rsidP="00C10ED6">
      <w:pPr>
        <w:spacing w:line="480" w:lineRule="auto"/>
        <w:rPr>
          <w:b/>
          <w:bCs/>
        </w:rPr>
      </w:pPr>
    </w:p>
    <w:p w14:paraId="2D034F72" w14:textId="77777777" w:rsidR="00C10ED6" w:rsidRDefault="00C10ED6" w:rsidP="00C10ED6">
      <w:pPr>
        <w:spacing w:line="480" w:lineRule="auto"/>
        <w:rPr>
          <w:b/>
          <w:bCs/>
        </w:rPr>
      </w:pPr>
    </w:p>
    <w:p w14:paraId="1373647E" w14:textId="77777777" w:rsidR="00C10ED6" w:rsidRDefault="00C10ED6" w:rsidP="00C10ED6">
      <w:pPr>
        <w:spacing w:line="480" w:lineRule="auto"/>
        <w:rPr>
          <w:b/>
          <w:bCs/>
        </w:rPr>
      </w:pPr>
    </w:p>
    <w:p w14:paraId="00C44805" w14:textId="77777777" w:rsidR="00C10ED6" w:rsidRDefault="00C10ED6" w:rsidP="00C10ED6">
      <w:pPr>
        <w:spacing w:line="480" w:lineRule="auto"/>
        <w:jc w:val="center"/>
        <w:rPr>
          <w:b/>
          <w:bCs/>
        </w:rPr>
      </w:pPr>
    </w:p>
    <w:p w14:paraId="7A275DEB" w14:textId="3CAE2B6A" w:rsidR="00C10ED6" w:rsidRDefault="00C10ED6" w:rsidP="00C10ED6">
      <w:pPr>
        <w:spacing w:line="480" w:lineRule="auto"/>
        <w:jc w:val="center"/>
        <w:rPr>
          <w:b/>
          <w:bCs/>
        </w:rPr>
      </w:pPr>
      <w:r w:rsidRPr="00C10ED6">
        <w:rPr>
          <w:b/>
          <w:bCs/>
        </w:rPr>
        <w:t>Johnson &amp; Johnson vs. Siemens</w:t>
      </w:r>
    </w:p>
    <w:p w14:paraId="7C037FF2" w14:textId="77777777" w:rsidR="00C10ED6" w:rsidRDefault="00C10ED6" w:rsidP="00C10ED6">
      <w:pPr>
        <w:spacing w:line="480" w:lineRule="auto"/>
        <w:jc w:val="center"/>
        <w:rPr>
          <w:b/>
          <w:bCs/>
        </w:rPr>
      </w:pPr>
    </w:p>
    <w:p w14:paraId="7D1883AE" w14:textId="77777777" w:rsidR="00C10ED6" w:rsidRDefault="00C10ED6" w:rsidP="00C10ED6">
      <w:pPr>
        <w:spacing w:line="480" w:lineRule="auto"/>
        <w:jc w:val="center"/>
        <w:rPr>
          <w:b/>
          <w:bCs/>
        </w:rPr>
      </w:pPr>
    </w:p>
    <w:p w14:paraId="27DA5AAD" w14:textId="5CFCDB32" w:rsidR="00C10ED6" w:rsidRPr="00C10ED6" w:rsidRDefault="00C10ED6" w:rsidP="00C10ED6">
      <w:pPr>
        <w:spacing w:line="480" w:lineRule="auto"/>
        <w:jc w:val="center"/>
      </w:pPr>
      <w:r w:rsidRPr="00C10ED6">
        <w:t>Name</w:t>
      </w:r>
    </w:p>
    <w:p w14:paraId="59BA019E" w14:textId="6741146F" w:rsidR="00C10ED6" w:rsidRPr="00C10ED6" w:rsidRDefault="00C10ED6" w:rsidP="00C10ED6">
      <w:pPr>
        <w:spacing w:line="480" w:lineRule="auto"/>
        <w:jc w:val="center"/>
      </w:pPr>
      <w:r w:rsidRPr="00C10ED6">
        <w:t>Course</w:t>
      </w:r>
    </w:p>
    <w:p w14:paraId="7FAD815D" w14:textId="08298C0A" w:rsidR="00C10ED6" w:rsidRPr="00C10ED6" w:rsidRDefault="00C10ED6" w:rsidP="00C10ED6">
      <w:pPr>
        <w:spacing w:line="480" w:lineRule="auto"/>
        <w:jc w:val="center"/>
      </w:pPr>
      <w:r w:rsidRPr="00C10ED6">
        <w:t>Professor</w:t>
      </w:r>
    </w:p>
    <w:p w14:paraId="5E37848A" w14:textId="65ED092A" w:rsidR="00C10ED6" w:rsidRPr="00C10ED6" w:rsidRDefault="00C10ED6" w:rsidP="00C10ED6">
      <w:pPr>
        <w:spacing w:line="480" w:lineRule="auto"/>
        <w:jc w:val="center"/>
      </w:pPr>
      <w:r w:rsidRPr="00C10ED6">
        <w:t>Date</w:t>
      </w:r>
    </w:p>
    <w:p w14:paraId="6462058E" w14:textId="18004A85" w:rsidR="00C10ED6" w:rsidRDefault="00C10ED6" w:rsidP="00C10ED6">
      <w:pPr>
        <w:spacing w:line="480" w:lineRule="auto"/>
        <w:rPr>
          <w:b/>
          <w:bCs/>
        </w:rPr>
      </w:pPr>
      <w:r>
        <w:rPr>
          <w:b/>
          <w:bCs/>
        </w:rPr>
        <w:br w:type="page"/>
      </w:r>
    </w:p>
    <w:p w14:paraId="5554D738" w14:textId="59852825" w:rsidR="000C5C96" w:rsidRPr="00A911EC" w:rsidRDefault="006608DB" w:rsidP="00C10ED6">
      <w:pPr>
        <w:spacing w:line="480" w:lineRule="auto"/>
        <w:jc w:val="center"/>
        <w:rPr>
          <w:b/>
          <w:bCs/>
        </w:rPr>
      </w:pPr>
      <w:r w:rsidRPr="00A911EC">
        <w:rPr>
          <w:b/>
          <w:bCs/>
        </w:rPr>
        <w:lastRenderedPageBreak/>
        <w:t>Introduction</w:t>
      </w:r>
    </w:p>
    <w:p w14:paraId="50F56DE3" w14:textId="2B55526A" w:rsidR="000C5C96" w:rsidRDefault="000C5C96" w:rsidP="00C10ED6">
      <w:pPr>
        <w:spacing w:line="480" w:lineRule="auto"/>
        <w:ind w:firstLine="720"/>
        <w:jc w:val="both"/>
      </w:pPr>
      <w:r>
        <w:t>Corporate sustainability has ceased to be a peripheral issue</w:t>
      </w:r>
      <w:r w:rsidR="001B7BB6">
        <w:t>,</w:t>
      </w:r>
      <w:r>
        <w:t xml:space="preserve"> and it now ranks among the core business legitimacy issues. BODs have now been tasked to not only safeguard shareholder value, but also to see that the management endeavors towards economic performance alongside social and environmental responsibility- the three pillars of ESG (Environmental, Social and Governance). In this paper, the effectiveness of two multinational corporations </w:t>
      </w:r>
      <w:proofErr w:type="gramStart"/>
      <w:r>
        <w:t>in regard to</w:t>
      </w:r>
      <w:proofErr w:type="gramEnd"/>
      <w:r>
        <w:t xml:space="preserve"> ESG, i.e., Johnson and Johnson (J&amp;J) and Siemens AG, will be evaluated regarding the reaction of each board to critical incidents and systemic governance issues. Although both companies encountered severe crises, the facts indicate that the BOD of Siemens proved to be more effective and transformative in the end.</w:t>
      </w:r>
    </w:p>
    <w:p w14:paraId="084C99D6" w14:textId="2E295FDD" w:rsidR="000C5C96" w:rsidRPr="00A911EC" w:rsidRDefault="000C5C96" w:rsidP="00C10ED6">
      <w:pPr>
        <w:spacing w:line="480" w:lineRule="auto"/>
        <w:jc w:val="center"/>
        <w:rPr>
          <w:b/>
          <w:bCs/>
        </w:rPr>
      </w:pPr>
      <w:r w:rsidRPr="00A911EC">
        <w:rPr>
          <w:b/>
          <w:bCs/>
        </w:rPr>
        <w:t>Johnson and Johnson: Under Pressure Governance Gaps.</w:t>
      </w:r>
    </w:p>
    <w:p w14:paraId="7DB65186" w14:textId="044F7343" w:rsidR="000C5C96" w:rsidRDefault="000C5C96" w:rsidP="00C10ED6">
      <w:pPr>
        <w:spacing w:line="480" w:lineRule="auto"/>
        <w:ind w:firstLine="720"/>
        <w:jc w:val="both"/>
      </w:pPr>
      <w:r>
        <w:t>Johnson and Johnson is among the largest global healthcare companies with a brand that has a history of being linked with trust and consumer welfare. However, its recent history shows that it has had serious BOD failures</w:t>
      </w:r>
      <w:r w:rsidR="00A911EC">
        <w:t>,</w:t>
      </w:r>
      <w:r>
        <w:t xml:space="preserve"> especially in the social and governance aspects of the ESG.</w:t>
      </w:r>
    </w:p>
    <w:p w14:paraId="56627704" w14:textId="579ED75D" w:rsidR="000C5C96" w:rsidRDefault="000C5C96" w:rsidP="00C10ED6">
      <w:pPr>
        <w:spacing w:line="480" w:lineRule="auto"/>
        <w:ind w:firstLine="720"/>
        <w:jc w:val="both"/>
      </w:pPr>
      <w:r>
        <w:t xml:space="preserve">The most harmful incident was related to the talc-based baby powder of J&amp;J. Internal records showed, and the courts affirmed, that J&amp;J executives </w:t>
      </w:r>
      <w:r w:rsidR="00A911EC">
        <w:t>had known for</w:t>
      </w:r>
      <w:r>
        <w:t xml:space="preserve"> decades that their talc products were contaminated with trace levels of asbestos, known as a carcinogen (</w:t>
      </w:r>
      <w:r w:rsidR="001B7BB6" w:rsidRPr="001B7BB6">
        <w:t>Dyer, 2024</w:t>
      </w:r>
      <w:r>
        <w:t>). Nevertheless, the product was not recalled or disclosed proactively</w:t>
      </w:r>
      <w:r w:rsidR="00C10ED6">
        <w:t>,</w:t>
      </w:r>
      <w:r>
        <w:t xml:space="preserve"> and the BOD did not force the management to recall or disclose the product. The company ended up paying more than 100,000 lawsuits to consumers who alleged that the product led to the development of ovarian cancer and mesothelioma</w:t>
      </w:r>
      <w:r w:rsidR="00A911EC">
        <w:t xml:space="preserve">, a gross negligence of the board in its role of following up on </w:t>
      </w:r>
      <w:r>
        <w:t>the safety of its products.</w:t>
      </w:r>
    </w:p>
    <w:p w14:paraId="1A7CBFAE" w14:textId="715FE98B" w:rsidR="000C5C96" w:rsidRDefault="000C5C96" w:rsidP="00C10ED6">
      <w:pPr>
        <w:spacing w:line="480" w:lineRule="auto"/>
        <w:ind w:firstLine="720"/>
        <w:jc w:val="both"/>
      </w:pPr>
      <w:r>
        <w:lastRenderedPageBreak/>
        <w:t>The actions of the BOD were even more controversial when J&amp;J resorted to using the so-called Texas Two-Step method of bankruptcy in 2021. The company sold off its liabilities in talc in a new subsidiary, LTL Management LLC</w:t>
      </w:r>
      <w:r w:rsidR="001B7BB6">
        <w:t>, whose assets at once went into bankruptcy,</w:t>
      </w:r>
      <w:r>
        <w:t xml:space="preserve"> leaving the parent company without bearing full responsibility (</w:t>
      </w:r>
      <w:r w:rsidR="001B7BB6" w:rsidRPr="001B7BB6">
        <w:t>Mintz</w:t>
      </w:r>
      <w:r w:rsidR="001B7BB6">
        <w:t xml:space="preserve"> </w:t>
      </w:r>
      <w:r w:rsidR="001B7BB6" w:rsidRPr="001B7BB6">
        <w:t>&amp; Knight, 2022</w:t>
      </w:r>
      <w:r>
        <w:t>). In 2023</w:t>
      </w:r>
      <w:r w:rsidR="001B7BB6">
        <w:t>,</w:t>
      </w:r>
      <w:r>
        <w:t xml:space="preserve"> this strategy was refused by federal courts. The fact that the BOD accepted this maneuver is a sign of a governance culture that focused on financial risk containment rather than being accountable to the harmed stakeholders, which is the direct opposite of the social aspect of ESG.</w:t>
      </w:r>
    </w:p>
    <w:p w14:paraId="27736DED" w14:textId="02F69D41" w:rsidR="000C5C96" w:rsidRDefault="000C5C96" w:rsidP="00C10ED6">
      <w:pPr>
        <w:spacing w:line="480" w:lineRule="auto"/>
        <w:ind w:firstLine="720"/>
        <w:jc w:val="both"/>
      </w:pPr>
      <w:r>
        <w:t xml:space="preserve">The role of J&amp;J in the U.S. opioid crisis supports this trend. </w:t>
      </w:r>
      <w:proofErr w:type="gramStart"/>
      <w:r>
        <w:t>In spite of the fact that</w:t>
      </w:r>
      <w:proofErr w:type="gramEnd"/>
      <w:r>
        <w:t xml:space="preserve"> its role was not central as compared to that of Purdue Pharma, the company was implicated in a series of state cases under the allegation that it aggressively marketed opioid drugs. The BOD did not initiate a corrective action in advance; governance systems did not raise a red flag or put a check on the actions of the management in this sensitive field (</w:t>
      </w:r>
      <w:r w:rsidR="001B7BB6" w:rsidRPr="001B7BB6">
        <w:t>Mintz</w:t>
      </w:r>
      <w:r w:rsidR="001B7BB6">
        <w:t xml:space="preserve"> </w:t>
      </w:r>
      <w:r w:rsidR="001B7BB6" w:rsidRPr="001B7BB6">
        <w:t>&amp; Knight, 2022</w:t>
      </w:r>
      <w:r>
        <w:t>). Environmentally, J&amp;J has delivered on its promises, such as a 2030 carbon-neutral goal, but such benefits are overshadowed by a trend of reactive, not proactive board management in social and governance crises.</w:t>
      </w:r>
    </w:p>
    <w:p w14:paraId="24A5DA49" w14:textId="32D16DF0" w:rsidR="006608DB" w:rsidRPr="00A911EC" w:rsidRDefault="006608DB" w:rsidP="00C10ED6">
      <w:pPr>
        <w:spacing w:line="480" w:lineRule="auto"/>
        <w:jc w:val="center"/>
        <w:rPr>
          <w:b/>
          <w:bCs/>
        </w:rPr>
      </w:pPr>
      <w:r w:rsidRPr="00A911EC">
        <w:rPr>
          <w:b/>
          <w:bCs/>
        </w:rPr>
        <w:t>Siemens AG: From Catastrophe to Compliance Leadership</w:t>
      </w:r>
    </w:p>
    <w:p w14:paraId="0B85AC6A" w14:textId="1969E8E8" w:rsidR="00A911EC" w:rsidRDefault="00A911EC" w:rsidP="00C10ED6">
      <w:pPr>
        <w:spacing w:line="480" w:lineRule="auto"/>
        <w:ind w:firstLine="720"/>
        <w:jc w:val="both"/>
      </w:pPr>
      <w:r>
        <w:t xml:space="preserve">The German conglomerate of industry and technology, Siemens AG, underwent one of the biggest corporate bribery scandals in history. During the 1990s-2006, Siemens staff members had systematically spent about 1.4 billion Euros in bribes in dozens of countries to ensure the government contracts were awarded to the corporation, with full knowledge being centralized in the top management. Siemens in 2008 pleaded guilty to the breach of the U.S. Foreign Corrupt Practices Act (FCPA) and paid a record fine of record 800 million dollars to the U.S and German </w:t>
      </w:r>
      <w:r>
        <w:lastRenderedPageBreak/>
        <w:t>governments</w:t>
      </w:r>
      <w:r w:rsidR="001B7BB6">
        <w:t xml:space="preserve"> (</w:t>
      </w:r>
      <w:proofErr w:type="spellStart"/>
      <w:r w:rsidR="001B7BB6" w:rsidRPr="001B7BB6">
        <w:t>Mousoudakis</w:t>
      </w:r>
      <w:proofErr w:type="spellEnd"/>
      <w:r w:rsidR="001B7BB6">
        <w:t xml:space="preserve"> et al., 2020)</w:t>
      </w:r>
      <w:r>
        <w:t>. This was a core malpractice of governance: the BOD had not put in place proper mechanisms of oversight to identify or prevent entrenched corruption.</w:t>
      </w:r>
    </w:p>
    <w:p w14:paraId="22342278" w14:textId="50749DCA" w:rsidR="00A911EC" w:rsidRDefault="00A911EC" w:rsidP="00C10ED6">
      <w:pPr>
        <w:spacing w:line="480" w:lineRule="auto"/>
        <w:ind w:firstLine="720"/>
        <w:jc w:val="both"/>
      </w:pPr>
      <w:r>
        <w:t>The next thing to distinguish with Siemens is what followed and ultimately made its BOD more effective in terms of ESG. Instead of downplaying the scandal or using legal maneuvers to evade responsibility, the BOD engaged in an institutional restructuring as broad and open as possible. The entire top management, including the CEO and CFO, was virtually ousted by the Supervisory Board (the two-level system of governance in Germany has a separation between the management board and the supervisory board). It hired Peter Loechser as the first externally hired CEO in the 160-year history of Siemens, an intentional message of a cultural clean sheet (</w:t>
      </w:r>
      <w:proofErr w:type="spellStart"/>
      <w:r w:rsidR="001B7BB6" w:rsidRPr="001B7BB6">
        <w:t>Mousoudakis</w:t>
      </w:r>
      <w:proofErr w:type="spellEnd"/>
      <w:r w:rsidR="001B7BB6">
        <w:t xml:space="preserve"> et al., 2020</w:t>
      </w:r>
      <w:r>
        <w:t>).</w:t>
      </w:r>
    </w:p>
    <w:p w14:paraId="451B25C4" w14:textId="0AF1B881" w:rsidR="00A911EC" w:rsidRDefault="00A911EC" w:rsidP="00C10ED6">
      <w:pPr>
        <w:spacing w:line="480" w:lineRule="auto"/>
        <w:ind w:firstLine="720"/>
        <w:jc w:val="both"/>
      </w:pPr>
      <w:r>
        <w:t xml:space="preserve">A strict compliance infrastructure was also developed by the Supervisory Board: a specific Chief Compliance Officer role, worldwide compliance training courses, whistleblower hotlines (anonymous), and a formal </w:t>
      </w:r>
      <w:r w:rsidR="001B7BB6">
        <w:t>third-party</w:t>
      </w:r>
      <w:r>
        <w:t xml:space="preserve"> monitoring agreement with the U.S. Department of Justice</w:t>
      </w:r>
      <w:r w:rsidR="001B7BB6">
        <w:t xml:space="preserve"> (</w:t>
      </w:r>
      <w:r w:rsidR="001B7BB6" w:rsidRPr="001B7BB6">
        <w:t>Abi-Farah, 2020</w:t>
      </w:r>
      <w:r w:rsidR="001B7BB6">
        <w:t>)</w:t>
      </w:r>
      <w:r>
        <w:t xml:space="preserve">. These were not cosmetic actions. By 2011, Siemens was considered as an </w:t>
      </w:r>
      <w:proofErr w:type="gramStart"/>
      <w:r>
        <w:t>exemplar</w:t>
      </w:r>
      <w:proofErr w:type="gramEnd"/>
      <w:r>
        <w:t xml:space="preserve"> of corporate compliance change - a firm that had turned a governance failure into a governance leadership. Such a course is indicative of a BOD that was eager to bring management to book in the most impactful manner imaginable.</w:t>
      </w:r>
    </w:p>
    <w:p w14:paraId="3D84B7AE" w14:textId="278D474B" w:rsidR="00A911EC" w:rsidRDefault="00A911EC" w:rsidP="00C10ED6">
      <w:pPr>
        <w:spacing w:line="480" w:lineRule="auto"/>
        <w:ind w:firstLine="720"/>
        <w:jc w:val="both"/>
      </w:pPr>
      <w:r>
        <w:t xml:space="preserve">The Siemens BOD has shown a long-term strategic commitment on the environmental front. In 2015, Siemens was one of the first large industrial firms to make a pledge towards carbon neutrality by 2030, which it met earlier than expected in 2023 (Siemens </w:t>
      </w:r>
      <w:r w:rsidR="001B7BB6">
        <w:t>AG</w:t>
      </w:r>
      <w:r>
        <w:t xml:space="preserve">, 2023). The environmental strategy of the company is incorporated in the executive compensation, which directly relates the ESG performance to the board-level incentives. Siemens has made huge </w:t>
      </w:r>
      <w:r>
        <w:lastRenderedPageBreak/>
        <w:t>investments in renewable energy, smart grid technology, and circular economy projects- all of which are aligned with its core business and are actively managed by the BOD.</w:t>
      </w:r>
    </w:p>
    <w:p w14:paraId="2D553DFD" w14:textId="52D15C8C" w:rsidR="006608DB" w:rsidRPr="006608DB" w:rsidRDefault="00A911EC" w:rsidP="00C10ED6">
      <w:pPr>
        <w:spacing w:line="480" w:lineRule="auto"/>
        <w:ind w:firstLine="720"/>
        <w:jc w:val="both"/>
      </w:pPr>
      <w:r>
        <w:t>On social fronts, Siemens has been tested on matters of labor in its supply chain and manufacturing plants in some markets, and critics have cited labor cuts in Germany in its restructuring processes. Nevertheless, the BOD has always been interacting with employee representatives in the co-determination framework that the German law requires and worker representation is direct in the Supervisory Board, which constitutes a characteristic of governance that formally inserts the concept of social responsibility into the decision-making process of the board.</w:t>
      </w:r>
    </w:p>
    <w:p w14:paraId="3A37DAB1" w14:textId="77777777" w:rsidR="006608DB" w:rsidRPr="00A911EC" w:rsidRDefault="006608DB" w:rsidP="00C10ED6">
      <w:pPr>
        <w:spacing w:line="480" w:lineRule="auto"/>
        <w:jc w:val="center"/>
        <w:rPr>
          <w:b/>
          <w:bCs/>
        </w:rPr>
      </w:pPr>
      <w:r w:rsidRPr="00A911EC">
        <w:rPr>
          <w:b/>
          <w:bCs/>
        </w:rPr>
        <w:t>Comparative Analysis</w:t>
      </w:r>
    </w:p>
    <w:p w14:paraId="524DA098" w14:textId="7B161CBB" w:rsidR="00A911EC" w:rsidRDefault="00A911EC" w:rsidP="00C10ED6">
      <w:pPr>
        <w:spacing w:line="480" w:lineRule="auto"/>
        <w:ind w:firstLine="720"/>
        <w:jc w:val="both"/>
      </w:pPr>
      <w:r>
        <w:t xml:space="preserve">Both BODs presided over serious failures. The distinction is based on their reactions. J&amp;J BOD responded to crises by key means of legal defense and financial risk management. The Texas Two-Step, specifically, shows a board whose intuition was to safeguard corporate resources instead of fulfilling </w:t>
      </w:r>
      <w:r w:rsidR="00C10ED6">
        <w:t xml:space="preserve">its </w:t>
      </w:r>
      <w:r>
        <w:t>responsibility to stakeholders, the ultimate ESG governance failure.</w:t>
      </w:r>
    </w:p>
    <w:p w14:paraId="1209EAD1" w14:textId="5BD3FCE0" w:rsidR="00A911EC" w:rsidRDefault="00A911EC" w:rsidP="00C10ED6">
      <w:pPr>
        <w:spacing w:line="480" w:lineRule="auto"/>
        <w:ind w:firstLine="720"/>
        <w:jc w:val="both"/>
      </w:pPr>
      <w:r>
        <w:t>The BOD of Siemens was able to utilize a devastating scandal as a driving force of systematic change. The reform of the compliance system, the change of leadership, the early realization of carbon neutrality, and the integration of ESG in the executive pay all show a board that was transformed to an active steward. The Siemens case is often used in governance literature as a perfect example of a turnaround because the board was ready to hold the management accountable in the most far-reaching manner.</w:t>
      </w:r>
    </w:p>
    <w:p w14:paraId="18314040" w14:textId="5F730D59" w:rsidR="00A911EC" w:rsidRPr="00A911EC" w:rsidRDefault="00A911EC" w:rsidP="00C10ED6">
      <w:pPr>
        <w:spacing w:line="480" w:lineRule="auto"/>
        <w:jc w:val="center"/>
        <w:rPr>
          <w:b/>
          <w:bCs/>
        </w:rPr>
      </w:pPr>
      <w:r w:rsidRPr="00A911EC">
        <w:rPr>
          <w:b/>
          <w:bCs/>
        </w:rPr>
        <w:t>Conclusion</w:t>
      </w:r>
    </w:p>
    <w:p w14:paraId="511F5A63" w14:textId="5B383367" w:rsidR="006608DB" w:rsidRPr="006608DB" w:rsidRDefault="00A911EC" w:rsidP="00C10ED6">
      <w:pPr>
        <w:spacing w:line="480" w:lineRule="auto"/>
        <w:ind w:firstLine="720"/>
        <w:jc w:val="both"/>
      </w:pPr>
      <w:r>
        <w:t xml:space="preserve">Siemens AG's Supervisory Board did a better job in its monitoring role in evaluating the effectiveness of the BOD using an ESG framework. Although the lack of governance at Siemens </w:t>
      </w:r>
      <w:r>
        <w:lastRenderedPageBreak/>
        <w:t>was critical at first, the board's reaction was categorical, open, and transformational, which now positions the company as a sustainability and compliance role model. Although Johnson and Johnson are in an industry where social responsibility is central, the BOD showed a trend of reactive management and governance decisions, where the litigating strategy was more important than the stakeholder responsibility. The quality and integrity of the response to crisis is not marked as an indicator of effective BOD oversight of ESG, but by the absence of crisis.</w:t>
      </w:r>
    </w:p>
    <w:p w14:paraId="4FC61D21" w14:textId="3EAE2779" w:rsidR="006608DB" w:rsidRPr="006608DB" w:rsidRDefault="006608DB" w:rsidP="00C10ED6">
      <w:pPr>
        <w:spacing w:line="480" w:lineRule="auto"/>
        <w:jc w:val="both"/>
        <w:rPr>
          <w:color w:val="2E74B5"/>
        </w:rPr>
      </w:pPr>
      <w:r w:rsidRPr="006608DB">
        <w:br w:type="page"/>
      </w:r>
    </w:p>
    <w:p w14:paraId="32B9B714" w14:textId="7134F02E" w:rsidR="008602AE" w:rsidRPr="00C10ED6" w:rsidRDefault="001B7BB6" w:rsidP="00C10ED6">
      <w:pPr>
        <w:spacing w:line="480" w:lineRule="auto"/>
        <w:jc w:val="center"/>
        <w:rPr>
          <w:b/>
          <w:bCs/>
        </w:rPr>
      </w:pPr>
      <w:r w:rsidRPr="00C10ED6">
        <w:rPr>
          <w:b/>
          <w:bCs/>
        </w:rPr>
        <w:lastRenderedPageBreak/>
        <w:t>References</w:t>
      </w:r>
    </w:p>
    <w:p w14:paraId="2C4EEFD8" w14:textId="55CB168A" w:rsidR="00C10ED6" w:rsidRDefault="00C10ED6" w:rsidP="00C10ED6">
      <w:pPr>
        <w:spacing w:line="480" w:lineRule="auto"/>
        <w:ind w:left="720" w:hanging="720"/>
        <w:jc w:val="both"/>
      </w:pPr>
      <w:r w:rsidRPr="001B7BB6">
        <w:t>Abi-Farah, B. (2020). Strategy Management using Strategy Mapping and Balanced Scorecards Siemens 2008 Example.</w:t>
      </w:r>
      <w:r>
        <w:t xml:space="preserve"> </w:t>
      </w:r>
      <w:r w:rsidRPr="00C10ED6">
        <w:rPr>
          <w:u w:val="single"/>
        </w:rPr>
        <w:t>https://www.academia.edu/download/64059471/Strategy%20Management%20using%20Strategy%20Mapping%20and%20Balanced%20Scorecards%20-%20Siemens%202008%20Example.pdf</w:t>
      </w:r>
    </w:p>
    <w:p w14:paraId="6B540AC8" w14:textId="285E3923" w:rsidR="00C10ED6" w:rsidRDefault="00C10ED6" w:rsidP="00C10ED6">
      <w:pPr>
        <w:spacing w:line="480" w:lineRule="auto"/>
        <w:ind w:left="720" w:hanging="720"/>
        <w:jc w:val="both"/>
      </w:pPr>
      <w:r w:rsidRPr="001B7BB6">
        <w:t>Dyer, O. (2024). Johnson &amp; Johnson pays $700 m to 42 US states to settle Baby Powder asbestos claims. </w:t>
      </w:r>
      <w:r w:rsidRPr="001B7BB6">
        <w:rPr>
          <w:i/>
          <w:iCs/>
        </w:rPr>
        <w:t>BMJ: British Medical Journal (Online)</w:t>
      </w:r>
      <w:r w:rsidRPr="001B7BB6">
        <w:t>, </w:t>
      </w:r>
      <w:r w:rsidRPr="001B7BB6">
        <w:rPr>
          <w:i/>
          <w:iCs/>
        </w:rPr>
        <w:t>385</w:t>
      </w:r>
      <w:r w:rsidRPr="001B7BB6">
        <w:t>, q1425.</w:t>
      </w:r>
      <w:r>
        <w:t xml:space="preserve"> </w:t>
      </w:r>
      <w:r w:rsidRPr="00C10ED6">
        <w:rPr>
          <w:u w:val="single"/>
        </w:rPr>
        <w:t>https://search.proquest.com/openview/983c3ef8b86c89060301c4a0877ba2cc/1?pq-origsite=gscholar&amp;cbl=2043523</w:t>
      </w:r>
    </w:p>
    <w:p w14:paraId="122E8848" w14:textId="65DF3A17" w:rsidR="00C10ED6" w:rsidRDefault="00C10ED6" w:rsidP="00C10ED6">
      <w:pPr>
        <w:spacing w:line="480" w:lineRule="auto"/>
        <w:ind w:left="720" w:hanging="720"/>
        <w:jc w:val="both"/>
      </w:pPr>
      <w:r w:rsidRPr="001B7BB6">
        <w:t xml:space="preserve">Mintz, D. S., &amp; Knight, K. (2022). J&amp;J Talc Lawsuits Transferred to New Jersey-A Look into the Texas Two-Step Maneuver. Pratt's J. </w:t>
      </w:r>
      <w:proofErr w:type="spellStart"/>
      <w:r w:rsidRPr="001B7BB6">
        <w:t>Bankr</w:t>
      </w:r>
      <w:proofErr w:type="spellEnd"/>
      <w:r w:rsidRPr="001B7BB6">
        <w:t>. L., 18, 137.</w:t>
      </w:r>
      <w:r>
        <w:t xml:space="preserve"> </w:t>
      </w:r>
      <w:r w:rsidRPr="00C10ED6">
        <w:rPr>
          <w:u w:val="single"/>
        </w:rPr>
        <w:t>https://heinonline.org/hol-cgi-bin/get_pdf.cgi?handle=hein.journals/prattjb18&amp;section=32</w:t>
      </w:r>
    </w:p>
    <w:p w14:paraId="1E2EDBBE" w14:textId="6BCBB0EB" w:rsidR="00C10ED6" w:rsidRDefault="00C10ED6" w:rsidP="00C10ED6">
      <w:pPr>
        <w:spacing w:line="480" w:lineRule="auto"/>
        <w:ind w:left="720" w:hanging="720"/>
        <w:jc w:val="both"/>
      </w:pPr>
      <w:proofErr w:type="spellStart"/>
      <w:r w:rsidRPr="001B7BB6">
        <w:t>Mousoudakis</w:t>
      </w:r>
      <w:proofErr w:type="spellEnd"/>
      <w:r w:rsidRPr="001B7BB6">
        <w:t>, M., Dowdle, J., Leal, S., &amp; Searle, D. (2020). Changing Landscape of International Anti-Bribery and Corruption Compliance. </w:t>
      </w:r>
      <w:r w:rsidRPr="001B7BB6">
        <w:rPr>
          <w:i/>
          <w:iCs/>
        </w:rPr>
        <w:t>Currents: J. Int'l Econ. L.</w:t>
      </w:r>
      <w:r w:rsidRPr="001B7BB6">
        <w:t>, </w:t>
      </w:r>
      <w:r w:rsidRPr="001B7BB6">
        <w:rPr>
          <w:i/>
          <w:iCs/>
        </w:rPr>
        <w:t>24</w:t>
      </w:r>
      <w:r w:rsidRPr="001B7BB6">
        <w:t>, 42.</w:t>
      </w:r>
      <w:r>
        <w:t xml:space="preserve"> </w:t>
      </w:r>
      <w:r w:rsidRPr="00C10ED6">
        <w:rPr>
          <w:u w:val="single"/>
        </w:rPr>
        <w:t>https://heinonline.org/hol-cgi-bin/get_pdf.cgi?handle=hein.journals/curritlj24&amp;section=10</w:t>
      </w:r>
    </w:p>
    <w:p w14:paraId="06B0DA99" w14:textId="77240A5B" w:rsidR="00C10ED6" w:rsidRPr="00C10ED6" w:rsidRDefault="00C10ED6" w:rsidP="00C10ED6">
      <w:pPr>
        <w:spacing w:line="480" w:lineRule="auto"/>
        <w:ind w:left="720" w:hanging="720"/>
        <w:jc w:val="both"/>
        <w:rPr>
          <w:u w:val="single"/>
        </w:rPr>
      </w:pPr>
      <w:r w:rsidRPr="001B7BB6">
        <w:t xml:space="preserve">Siemens AG (2023). </w:t>
      </w:r>
      <w:r w:rsidRPr="001B7BB6">
        <w:rPr>
          <w:i/>
          <w:iCs/>
        </w:rPr>
        <w:t>Siemens Sustainability Report 2023.</w:t>
      </w:r>
      <w:r w:rsidRPr="001B7BB6">
        <w:t xml:space="preserve"> </w:t>
      </w:r>
      <w:r w:rsidRPr="00C10ED6">
        <w:rPr>
          <w:u w:val="single"/>
        </w:rPr>
        <w:t>https://www.siemens.com/global/en/company/sustainability.html</w:t>
      </w:r>
    </w:p>
    <w:sectPr w:rsidR="00C10ED6" w:rsidRPr="00C10ED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F2C2" w14:textId="77777777" w:rsidR="00757B9D" w:rsidRDefault="00757B9D" w:rsidP="00C10ED6">
      <w:r>
        <w:separator/>
      </w:r>
    </w:p>
  </w:endnote>
  <w:endnote w:type="continuationSeparator" w:id="0">
    <w:p w14:paraId="1D3EB500" w14:textId="77777777" w:rsidR="00757B9D" w:rsidRDefault="00757B9D" w:rsidP="00C10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FCC61" w14:textId="77777777" w:rsidR="00757B9D" w:rsidRDefault="00757B9D" w:rsidP="00C10ED6">
      <w:r>
        <w:separator/>
      </w:r>
    </w:p>
  </w:footnote>
  <w:footnote w:type="continuationSeparator" w:id="0">
    <w:p w14:paraId="05CCD7C9" w14:textId="77777777" w:rsidR="00757B9D" w:rsidRDefault="00757B9D" w:rsidP="00C10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964525"/>
      <w:docPartObj>
        <w:docPartGallery w:val="Page Numbers (Top of Page)"/>
        <w:docPartUnique/>
      </w:docPartObj>
    </w:sdtPr>
    <w:sdtEndPr>
      <w:rPr>
        <w:noProof/>
      </w:rPr>
    </w:sdtEndPr>
    <w:sdtContent>
      <w:p w14:paraId="2AEC7137" w14:textId="4FF6F029" w:rsidR="00C10ED6" w:rsidRDefault="00C10E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F9C41B" w14:textId="77777777" w:rsidR="00C10ED6" w:rsidRDefault="00C10E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DD0"/>
    <w:multiLevelType w:val="hybridMultilevel"/>
    <w:tmpl w:val="F8F45BD2"/>
    <w:lvl w:ilvl="0" w:tplc="E6249D20">
      <w:start w:val="1"/>
      <w:numFmt w:val="bullet"/>
      <w:lvlText w:val="●"/>
      <w:lvlJc w:val="left"/>
      <w:pPr>
        <w:ind w:left="720" w:hanging="360"/>
      </w:pPr>
    </w:lvl>
    <w:lvl w:ilvl="1" w:tplc="416C4FEE">
      <w:start w:val="1"/>
      <w:numFmt w:val="bullet"/>
      <w:lvlText w:val="○"/>
      <w:lvlJc w:val="left"/>
      <w:pPr>
        <w:ind w:left="1440" w:hanging="360"/>
      </w:pPr>
    </w:lvl>
    <w:lvl w:ilvl="2" w:tplc="EDA0C5FC">
      <w:start w:val="1"/>
      <w:numFmt w:val="bullet"/>
      <w:lvlText w:val="■"/>
      <w:lvlJc w:val="left"/>
      <w:pPr>
        <w:ind w:left="2160" w:hanging="360"/>
      </w:pPr>
    </w:lvl>
    <w:lvl w:ilvl="3" w:tplc="ED045090">
      <w:start w:val="1"/>
      <w:numFmt w:val="bullet"/>
      <w:lvlText w:val="●"/>
      <w:lvlJc w:val="left"/>
      <w:pPr>
        <w:ind w:left="2880" w:hanging="360"/>
      </w:pPr>
    </w:lvl>
    <w:lvl w:ilvl="4" w:tplc="15301B00">
      <w:start w:val="1"/>
      <w:numFmt w:val="bullet"/>
      <w:lvlText w:val="○"/>
      <w:lvlJc w:val="left"/>
      <w:pPr>
        <w:ind w:left="3600" w:hanging="360"/>
      </w:pPr>
    </w:lvl>
    <w:lvl w:ilvl="5" w:tplc="2E20F42C">
      <w:start w:val="1"/>
      <w:numFmt w:val="bullet"/>
      <w:lvlText w:val="■"/>
      <w:lvlJc w:val="left"/>
      <w:pPr>
        <w:ind w:left="4320" w:hanging="360"/>
      </w:pPr>
    </w:lvl>
    <w:lvl w:ilvl="6" w:tplc="FC4A6724">
      <w:start w:val="1"/>
      <w:numFmt w:val="bullet"/>
      <w:lvlText w:val="●"/>
      <w:lvlJc w:val="left"/>
      <w:pPr>
        <w:ind w:left="5040" w:hanging="360"/>
      </w:pPr>
    </w:lvl>
    <w:lvl w:ilvl="7" w:tplc="575A7A02">
      <w:start w:val="1"/>
      <w:numFmt w:val="bullet"/>
      <w:lvlText w:val="●"/>
      <w:lvlJc w:val="left"/>
      <w:pPr>
        <w:ind w:left="5760" w:hanging="360"/>
      </w:pPr>
    </w:lvl>
    <w:lvl w:ilvl="8" w:tplc="239C7896">
      <w:start w:val="1"/>
      <w:numFmt w:val="bullet"/>
      <w:lvlText w:val="●"/>
      <w:lvlJc w:val="left"/>
      <w:pPr>
        <w:ind w:left="6480" w:hanging="360"/>
      </w:pPr>
    </w:lvl>
  </w:abstractNum>
  <w:num w:numId="1" w16cid:durableId="558900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2AE"/>
    <w:rsid w:val="000C5C96"/>
    <w:rsid w:val="001B7BB6"/>
    <w:rsid w:val="002339F9"/>
    <w:rsid w:val="00355027"/>
    <w:rsid w:val="00471C4E"/>
    <w:rsid w:val="006608DB"/>
    <w:rsid w:val="00757B9D"/>
    <w:rsid w:val="008602AE"/>
    <w:rsid w:val="008751F2"/>
    <w:rsid w:val="00A911EC"/>
    <w:rsid w:val="00C10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2BE4"/>
  <w15:docId w15:val="{47861ABF-BE64-49D7-852A-1BECC8B2B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B7BB6"/>
    <w:rPr>
      <w:color w:val="605E5C"/>
      <w:shd w:val="clear" w:color="auto" w:fill="E1DFDD"/>
    </w:rPr>
  </w:style>
  <w:style w:type="paragraph" w:styleId="Header">
    <w:name w:val="header"/>
    <w:basedOn w:val="Normal"/>
    <w:link w:val="HeaderChar"/>
    <w:uiPriority w:val="99"/>
    <w:unhideWhenUsed/>
    <w:rsid w:val="00C10ED6"/>
    <w:pPr>
      <w:tabs>
        <w:tab w:val="center" w:pos="4680"/>
        <w:tab w:val="right" w:pos="9360"/>
      </w:tabs>
    </w:pPr>
  </w:style>
  <w:style w:type="character" w:customStyle="1" w:styleId="HeaderChar">
    <w:name w:val="Header Char"/>
    <w:basedOn w:val="DefaultParagraphFont"/>
    <w:link w:val="Header"/>
    <w:uiPriority w:val="99"/>
    <w:rsid w:val="00C10ED6"/>
  </w:style>
  <w:style w:type="paragraph" w:styleId="Footer">
    <w:name w:val="footer"/>
    <w:basedOn w:val="Normal"/>
    <w:link w:val="FooterChar"/>
    <w:uiPriority w:val="99"/>
    <w:unhideWhenUsed/>
    <w:rsid w:val="00C10ED6"/>
    <w:pPr>
      <w:tabs>
        <w:tab w:val="center" w:pos="4680"/>
        <w:tab w:val="right" w:pos="9360"/>
      </w:tabs>
    </w:pPr>
  </w:style>
  <w:style w:type="character" w:customStyle="1" w:styleId="FooterChar">
    <w:name w:val="Footer Char"/>
    <w:basedOn w:val="DefaultParagraphFont"/>
    <w:link w:val="Footer"/>
    <w:uiPriority w:val="99"/>
    <w:rsid w:val="00C1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Admin</cp:lastModifiedBy>
  <cp:revision>2</cp:revision>
  <dcterms:created xsi:type="dcterms:W3CDTF">2026-04-10T05:41:00Z</dcterms:created>
  <dcterms:modified xsi:type="dcterms:W3CDTF">2026-04-10T05:41:00Z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3a4bfd45-e400-46ae-991f-09e2463e8a75</vt:lpwstr>
  </property>
</Properties>
</file>