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771B" w14:textId="77777777" w:rsidR="00513420" w:rsidRDefault="00513420" w:rsidP="00513420">
      <w:pPr>
        <w:spacing w:line="480" w:lineRule="auto"/>
        <w:jc w:val="center"/>
        <w:rPr>
          <w:b/>
          <w:bCs/>
        </w:rPr>
      </w:pPr>
    </w:p>
    <w:p w14:paraId="2B10670A" w14:textId="77777777" w:rsidR="00513420" w:rsidRDefault="00513420">
      <w:pPr>
        <w:rPr>
          <w:b/>
          <w:bCs/>
        </w:rPr>
      </w:pPr>
    </w:p>
    <w:p w14:paraId="53C51B28" w14:textId="77777777" w:rsidR="00513420" w:rsidRDefault="00513420">
      <w:pPr>
        <w:rPr>
          <w:b/>
          <w:bCs/>
        </w:rPr>
      </w:pPr>
    </w:p>
    <w:p w14:paraId="2DE84B59" w14:textId="77777777" w:rsidR="00513420" w:rsidRDefault="00513420">
      <w:pPr>
        <w:rPr>
          <w:b/>
          <w:bCs/>
        </w:rPr>
      </w:pPr>
    </w:p>
    <w:p w14:paraId="53903E27" w14:textId="77777777" w:rsidR="00513420" w:rsidRDefault="00513420">
      <w:pPr>
        <w:rPr>
          <w:b/>
          <w:bCs/>
        </w:rPr>
      </w:pPr>
    </w:p>
    <w:p w14:paraId="1233A2F2" w14:textId="77777777" w:rsidR="00513420" w:rsidRDefault="00513420">
      <w:pPr>
        <w:rPr>
          <w:b/>
          <w:bCs/>
        </w:rPr>
      </w:pPr>
    </w:p>
    <w:p w14:paraId="0A0C7FF9" w14:textId="77777777" w:rsidR="00513420" w:rsidRDefault="00513420">
      <w:pPr>
        <w:rPr>
          <w:b/>
          <w:bCs/>
        </w:rPr>
      </w:pPr>
    </w:p>
    <w:p w14:paraId="4A76ECEE" w14:textId="77777777" w:rsidR="00513420" w:rsidRDefault="00513420" w:rsidP="00513420">
      <w:pPr>
        <w:spacing w:line="480" w:lineRule="auto"/>
        <w:rPr>
          <w:b/>
          <w:bCs/>
        </w:rPr>
      </w:pPr>
    </w:p>
    <w:p w14:paraId="7EF9EEF0" w14:textId="77777777" w:rsidR="00513420" w:rsidRDefault="00513420" w:rsidP="00513420">
      <w:pPr>
        <w:spacing w:line="480" w:lineRule="auto"/>
        <w:rPr>
          <w:b/>
          <w:bCs/>
        </w:rPr>
      </w:pPr>
    </w:p>
    <w:p w14:paraId="0808D7F2" w14:textId="77777777" w:rsidR="00513420" w:rsidRDefault="00513420" w:rsidP="00513420">
      <w:pPr>
        <w:spacing w:line="480" w:lineRule="auto"/>
        <w:rPr>
          <w:b/>
          <w:bCs/>
        </w:rPr>
      </w:pPr>
    </w:p>
    <w:p w14:paraId="7F9473FD" w14:textId="77777777" w:rsidR="00513420" w:rsidRDefault="00513420" w:rsidP="00513420">
      <w:pPr>
        <w:spacing w:line="480" w:lineRule="auto"/>
        <w:rPr>
          <w:b/>
          <w:bCs/>
        </w:rPr>
      </w:pPr>
    </w:p>
    <w:p w14:paraId="1ACA6DD7" w14:textId="77777777" w:rsidR="00513420" w:rsidRDefault="00513420" w:rsidP="00513420">
      <w:pPr>
        <w:spacing w:line="480" w:lineRule="auto"/>
        <w:jc w:val="center"/>
        <w:rPr>
          <w:b/>
          <w:bCs/>
        </w:rPr>
      </w:pPr>
      <w:r w:rsidRPr="00513420">
        <w:rPr>
          <w:b/>
          <w:bCs/>
        </w:rPr>
        <w:t>A Comparative Analysis of Walt Disney Company and Petrobras</w:t>
      </w:r>
    </w:p>
    <w:p w14:paraId="7848658D" w14:textId="77777777" w:rsidR="00513420" w:rsidRDefault="00513420" w:rsidP="00513420">
      <w:pPr>
        <w:spacing w:line="480" w:lineRule="auto"/>
        <w:jc w:val="center"/>
        <w:rPr>
          <w:b/>
          <w:bCs/>
        </w:rPr>
      </w:pPr>
    </w:p>
    <w:p w14:paraId="48E8A87C" w14:textId="77777777" w:rsidR="00513420" w:rsidRPr="00513420" w:rsidRDefault="00513420" w:rsidP="00513420">
      <w:pPr>
        <w:spacing w:line="480" w:lineRule="auto"/>
        <w:jc w:val="center"/>
      </w:pPr>
      <w:r w:rsidRPr="00513420">
        <w:t>Name</w:t>
      </w:r>
    </w:p>
    <w:p w14:paraId="583E4E1A" w14:textId="6A585D0A" w:rsidR="00513420" w:rsidRPr="00513420" w:rsidRDefault="00513420" w:rsidP="00513420">
      <w:pPr>
        <w:spacing w:line="480" w:lineRule="auto"/>
        <w:jc w:val="center"/>
      </w:pPr>
      <w:r w:rsidRPr="00513420">
        <w:t>Course</w:t>
      </w:r>
    </w:p>
    <w:p w14:paraId="76537E77" w14:textId="1277F1A2" w:rsidR="00513420" w:rsidRPr="00513420" w:rsidRDefault="00513420" w:rsidP="00513420">
      <w:pPr>
        <w:spacing w:line="480" w:lineRule="auto"/>
        <w:jc w:val="center"/>
      </w:pPr>
      <w:r w:rsidRPr="00513420">
        <w:t>Professor</w:t>
      </w:r>
    </w:p>
    <w:p w14:paraId="76170554" w14:textId="2E5F937D" w:rsidR="00513420" w:rsidRPr="00513420" w:rsidRDefault="00513420" w:rsidP="00513420">
      <w:pPr>
        <w:spacing w:line="480" w:lineRule="auto"/>
        <w:jc w:val="center"/>
      </w:pPr>
      <w:r w:rsidRPr="00513420">
        <w:t>Date</w:t>
      </w:r>
    </w:p>
    <w:p w14:paraId="263B0BB3" w14:textId="687F48C1" w:rsidR="00513420" w:rsidRDefault="00513420" w:rsidP="00513420">
      <w:pPr>
        <w:spacing w:line="480" w:lineRule="auto"/>
        <w:rPr>
          <w:b/>
          <w:bCs/>
        </w:rPr>
      </w:pPr>
      <w:r>
        <w:rPr>
          <w:b/>
          <w:bCs/>
        </w:rPr>
        <w:br w:type="page"/>
      </w:r>
    </w:p>
    <w:p w14:paraId="5D73005F" w14:textId="62064968" w:rsidR="006447B5" w:rsidRPr="006447B5" w:rsidRDefault="006447B5" w:rsidP="00513420">
      <w:pPr>
        <w:spacing w:line="480" w:lineRule="auto"/>
        <w:jc w:val="center"/>
      </w:pPr>
      <w:r w:rsidRPr="006447B5">
        <w:rPr>
          <w:b/>
          <w:bCs/>
        </w:rPr>
        <w:lastRenderedPageBreak/>
        <w:t>Introduction</w:t>
      </w:r>
    </w:p>
    <w:p w14:paraId="602D438B" w14:textId="04787AD8" w:rsidR="002326C0" w:rsidRDefault="002326C0" w:rsidP="00F66C65">
      <w:pPr>
        <w:spacing w:line="480" w:lineRule="auto"/>
        <w:ind w:firstLine="720"/>
        <w:jc w:val="both"/>
      </w:pPr>
      <w:r>
        <w:t xml:space="preserve">In this age and age where investors, regulators and the populace seek accountability in the environmental, social and governance (ESG) areas, the Board of Directors (BOD) is the main tool by which the ethical direction of a company is established and the management is checked. BOD is </w:t>
      </w:r>
      <w:proofErr w:type="gramStart"/>
      <w:r>
        <w:t>endowed</w:t>
      </w:r>
      <w:proofErr w:type="gramEnd"/>
      <w:r>
        <w:t xml:space="preserve"> the fiduciary responsibility of overseeing the top management, strategic alignment and long-term sustainability of the enterprise, both economically, socially and environmentally. This paper will analyze and compare the BOD performance of The Walt Disney Company and Petrobras (Petróleo Brasileiro S.A.), evaluating the effectiveness of each board in fulfilling its oversight mandate during critical incidents and in dealing with key governance challenges. The paper concludes by stating that</w:t>
      </w:r>
      <w:r w:rsidR="00F66C65">
        <w:t xml:space="preserve">, though both boards have had grave deficiencies, the board of Petrobras still showed a stronger corrective action response than the Disney Board, which has been delayed in taking </w:t>
      </w:r>
      <w:r>
        <w:t>significant action on the issue of reforming.</w:t>
      </w:r>
    </w:p>
    <w:p w14:paraId="438504F6" w14:textId="77777777" w:rsidR="002326C0" w:rsidRPr="00F66C65" w:rsidRDefault="002326C0" w:rsidP="00F66C65">
      <w:pPr>
        <w:spacing w:line="480" w:lineRule="auto"/>
        <w:jc w:val="center"/>
        <w:rPr>
          <w:b/>
          <w:bCs/>
        </w:rPr>
      </w:pPr>
      <w:r w:rsidRPr="00F66C65">
        <w:rPr>
          <w:b/>
          <w:bCs/>
        </w:rPr>
        <w:t>The Walt Disney Company: A Board of Directors Hijacked by its own CEO.</w:t>
      </w:r>
    </w:p>
    <w:p w14:paraId="611C268F" w14:textId="77777777" w:rsidR="002326C0" w:rsidRPr="00F66C65" w:rsidRDefault="002326C0" w:rsidP="00F66C65">
      <w:pPr>
        <w:spacing w:line="480" w:lineRule="auto"/>
        <w:jc w:val="both"/>
        <w:rPr>
          <w:b/>
          <w:bCs/>
        </w:rPr>
      </w:pPr>
      <w:r w:rsidRPr="00F66C65">
        <w:rPr>
          <w:b/>
          <w:bCs/>
        </w:rPr>
        <w:t>Governance Structure and Key Failures</w:t>
      </w:r>
    </w:p>
    <w:p w14:paraId="100029F2" w14:textId="577589E9" w:rsidR="002326C0" w:rsidRDefault="002326C0" w:rsidP="00F66C65">
      <w:pPr>
        <w:spacing w:line="480" w:lineRule="auto"/>
        <w:ind w:firstLine="720"/>
        <w:jc w:val="both"/>
      </w:pPr>
      <w:r>
        <w:t>The Board of Directors of Disney has been a target of intense criticism in the last 10 years, with critics labeling it as being passive, insular and failing to provide proper management control. The most harmful incident was the crisis of succession of the CEO in 2020-2022. When Bob Iger resigned early in 2020, the board replaced him with Bob Chapek in what one observer termed a hasty and lack of a proper vetting. To make this worse, Iger was maintained as the executive chairman, and Chapek would report to both Iger and the board at the same time, which set the stage of eroding the authority of Chapek initially and created a dysfunctional two-leaders dynamic (</w:t>
      </w:r>
      <w:proofErr w:type="spellStart"/>
      <w:r w:rsidR="00F66C65" w:rsidRPr="00C74ECB">
        <w:t>Liotopoulos</w:t>
      </w:r>
      <w:proofErr w:type="spellEnd"/>
      <w:r w:rsidR="00F66C65" w:rsidRPr="00C74ECB">
        <w:t>, 2023</w:t>
      </w:r>
      <w:r>
        <w:t>).</w:t>
      </w:r>
    </w:p>
    <w:p w14:paraId="7155F543" w14:textId="1EBAD16A" w:rsidR="002326C0" w:rsidRDefault="002326C0" w:rsidP="00F66C65">
      <w:pPr>
        <w:spacing w:line="480" w:lineRule="auto"/>
        <w:ind w:firstLine="720"/>
        <w:jc w:val="both"/>
      </w:pPr>
      <w:r>
        <w:lastRenderedPageBreak/>
        <w:t xml:space="preserve">The effects were </w:t>
      </w:r>
      <w:r w:rsidR="00F66C65">
        <w:t>far-reaching</w:t>
      </w:r>
      <w:r>
        <w:t>. The first time Chapek publicly did not comment on the Florida HB 1557, also known as the Don't Say Gay bill, elicited strong criticism even among Disney staff and creative partners, and showed a board-level lack of social responsibility. The fact that the board finally had to hold a special meeting to publicly object to the bill led to a retaliatory political campaign by the Florida government, which meant that Disney had its Reedy Creek self-governance arrangement revoked, a major financial and operational blow (</w:t>
      </w:r>
      <w:r w:rsidR="00F66C65" w:rsidRPr="00C74ECB">
        <w:t>Hester, 2023</w:t>
      </w:r>
      <w:r>
        <w:t xml:space="preserve">). This was a demonstration of how the board had not been proactive in giving directives on social ESG issues early enough before the situation had become a </w:t>
      </w:r>
      <w:r w:rsidR="00F66C65">
        <w:t>full-fledged</w:t>
      </w:r>
      <w:r>
        <w:t xml:space="preserve"> crisis.</w:t>
      </w:r>
    </w:p>
    <w:p w14:paraId="09AF0F11" w14:textId="359DDFBC" w:rsidR="002326C0" w:rsidRDefault="002326C0" w:rsidP="00F66C65">
      <w:pPr>
        <w:spacing w:line="480" w:lineRule="auto"/>
        <w:ind w:firstLine="720"/>
        <w:jc w:val="both"/>
      </w:pPr>
      <w:r>
        <w:t>The most obvious negligence by the board was in June 2022, when it voted unanimously to give Chapek a three-year extension of his contract, declaring him the right leader at the right time. Less than five months after, the same board suddenly fired Chapek and reelected the retired Bob Iger - a move that came as a shock to markets and cast fundamental questions on the credibility of the board (</w:t>
      </w:r>
      <w:r w:rsidR="00F66C65" w:rsidRPr="00C74ECB">
        <w:t>Goddard, 2021</w:t>
      </w:r>
      <w:r>
        <w:t>). Trian Fund Management activist investor Nelson Peltz later launched a proxy campaign, citing the board's inability to manage responsible capital allocation, its approval of the financially challenged acquisition of 21st Century Fox, and its malfunctioning succession, the one most important duty of any board (</w:t>
      </w:r>
      <w:r w:rsidR="00F66C65" w:rsidRPr="00C74ECB">
        <w:t>Luiten, 2020</w:t>
      </w:r>
      <w:r>
        <w:t>).</w:t>
      </w:r>
    </w:p>
    <w:p w14:paraId="1BE1BF3E" w14:textId="77777777" w:rsidR="002326C0" w:rsidRPr="00F66C65" w:rsidRDefault="002326C0" w:rsidP="00F66C65">
      <w:pPr>
        <w:spacing w:line="480" w:lineRule="auto"/>
        <w:rPr>
          <w:b/>
          <w:bCs/>
        </w:rPr>
      </w:pPr>
      <w:r w:rsidRPr="00F66C65">
        <w:rPr>
          <w:b/>
          <w:bCs/>
        </w:rPr>
        <w:t>Environmental and Social Oversight.</w:t>
      </w:r>
    </w:p>
    <w:p w14:paraId="09432F3B" w14:textId="2B5D5BB0" w:rsidR="006447B5" w:rsidRPr="006447B5" w:rsidRDefault="002326C0" w:rsidP="00F66C65">
      <w:pPr>
        <w:spacing w:line="480" w:lineRule="auto"/>
        <w:ind w:firstLine="720"/>
        <w:jc w:val="both"/>
      </w:pPr>
      <w:r>
        <w:t>Disney has a mixed track record on the environmental front. The company has made a promise of a net-zero of greenhouse emissions and to cut down on single-use plastic in its theme parks. Nevertheless, its own 2023 10-K filing admitted that the increasing ESG scrutiny is a material risk to its profits - a frank acknowledgment that ESG commitments are hard to enforce in a highly partisan political environment (</w:t>
      </w:r>
      <w:r w:rsidR="00F66C65" w:rsidRPr="00C74ECB">
        <w:t>Luiten, 2020</w:t>
      </w:r>
      <w:r>
        <w:t xml:space="preserve">). The governance score of Disney, according to ESG rating agencies, is very low among the peers, which indicates flaws in executive </w:t>
      </w:r>
      <w:r>
        <w:lastRenderedPageBreak/>
        <w:t>compensation correspondence, shareholder rights, and lack of quantifiable performance goals of senior executives (</w:t>
      </w:r>
      <w:r w:rsidR="00F66C65" w:rsidRPr="00C74ECB">
        <w:t>Goddard, 2021</w:t>
      </w:r>
      <w:r>
        <w:t>). The structural gap is that the board never linked executive pay to ESG metrics, and with no corrective measures taken over the years.</w:t>
      </w:r>
    </w:p>
    <w:p w14:paraId="7177A939" w14:textId="77777777" w:rsidR="006447B5" w:rsidRPr="006447B5" w:rsidRDefault="006447B5" w:rsidP="00F66C65">
      <w:pPr>
        <w:spacing w:line="480" w:lineRule="auto"/>
        <w:jc w:val="center"/>
      </w:pPr>
      <w:r w:rsidRPr="006447B5">
        <w:rPr>
          <w:b/>
          <w:bCs/>
        </w:rPr>
        <w:t>Petrobras: Catastrophic Failure Followed by Systemic Reform</w:t>
      </w:r>
    </w:p>
    <w:p w14:paraId="16A3D1CB" w14:textId="77777777" w:rsidR="006447B5" w:rsidRDefault="006447B5" w:rsidP="00F66C65">
      <w:pPr>
        <w:spacing w:line="480" w:lineRule="auto"/>
        <w:jc w:val="both"/>
        <w:rPr>
          <w:b/>
          <w:bCs/>
        </w:rPr>
      </w:pPr>
      <w:r w:rsidRPr="006447B5">
        <w:rPr>
          <w:b/>
          <w:bCs/>
        </w:rPr>
        <w:t>The Lava Jato Corruption Scandal and Board Complicity</w:t>
      </w:r>
    </w:p>
    <w:p w14:paraId="6353CE8E" w14:textId="73790DC0" w:rsidR="006E755D" w:rsidRDefault="006E755D" w:rsidP="00F66C65">
      <w:pPr>
        <w:spacing w:line="480" w:lineRule="auto"/>
        <w:ind w:firstLine="720"/>
        <w:jc w:val="both"/>
      </w:pPr>
      <w:r>
        <w:t>The case of Petrobras is one of the most dramatic instances of corporate governance in contemporary corporate history. Between around 2003 and 2014, a cartel-style bribery system was executed at the top of the Brazilian state-owned oil company. The executives had conspired with the leading construction companies to overcharge the contracts and take about three percent off every contract</w:t>
      </w:r>
      <w:r w:rsidR="00F66C65">
        <w:t>,</w:t>
      </w:r>
      <w:r>
        <w:t xml:space="preserve"> channeling at least 2.1 billion to Brazilian political parties and company insiders (</w:t>
      </w:r>
      <w:r w:rsidR="00F66C65" w:rsidRPr="00C74ECB">
        <w:t>Leal</w:t>
      </w:r>
      <w:r w:rsidR="00F66C65">
        <w:t xml:space="preserve"> et al., 2026</w:t>
      </w:r>
      <w:r>
        <w:t>). The conspiracy involved high-ranking politicians at the time when the then-Minister Dilma Rousseff was the head of the board at Petrobras as one of the controllers of the company as a government stake (Britannica, 2026).</w:t>
      </w:r>
    </w:p>
    <w:p w14:paraId="212815FF" w14:textId="2E4AAA48" w:rsidR="006E755D" w:rsidRDefault="006E755D" w:rsidP="00F66C65">
      <w:pPr>
        <w:spacing w:line="480" w:lineRule="auto"/>
        <w:ind w:firstLine="720"/>
        <w:jc w:val="both"/>
      </w:pPr>
      <w:r>
        <w:t>Notably, as this corruption was happening, the leading ESG rating agencies recognized Petrobras as the most ethical oil and gas company in the world, which is a warning of the shortcomings of superficial ESG evaluation when the very governance is undermined (</w:t>
      </w:r>
      <w:r w:rsidR="00F66C65" w:rsidRPr="00C74ECB">
        <w:t>Leal</w:t>
      </w:r>
      <w:r w:rsidR="00F66C65">
        <w:t xml:space="preserve"> et al., 2026</w:t>
      </w:r>
      <w:r>
        <w:t>). The scandal emerged in 2014, as part of an investigation by Brazil's Operation Car Wash (Lava Jato), and resulted in the arrest of dozens of officials and the conviction of 86 people. In the United States, there were class-action lawsuits and the SEC and DOJ commenced investigations as per the Foreign Corrupt Practices Act (FCPA).</w:t>
      </w:r>
    </w:p>
    <w:p w14:paraId="19E0AD82" w14:textId="77777777" w:rsidR="006E755D" w:rsidRPr="00F66C65" w:rsidRDefault="006E755D" w:rsidP="00F66C65">
      <w:pPr>
        <w:spacing w:line="480" w:lineRule="auto"/>
        <w:jc w:val="both"/>
        <w:rPr>
          <w:b/>
          <w:bCs/>
        </w:rPr>
      </w:pPr>
      <w:r w:rsidRPr="00F66C65">
        <w:rPr>
          <w:b/>
          <w:bCs/>
        </w:rPr>
        <w:t>Board Response: Radical Reform and Surgery.</w:t>
      </w:r>
    </w:p>
    <w:p w14:paraId="5B6D0DD8" w14:textId="504F0B57" w:rsidR="006E755D" w:rsidRDefault="006E755D" w:rsidP="00F66C65">
      <w:pPr>
        <w:spacing w:line="480" w:lineRule="auto"/>
        <w:ind w:firstLine="720"/>
        <w:jc w:val="both"/>
      </w:pPr>
      <w:r>
        <w:t xml:space="preserve">The crucial difference is what occurred after the crisis was unveiled. The post-scandal board of Petrobras went on a widespread governance overhaul. The company hired outside law </w:t>
      </w:r>
      <w:r>
        <w:lastRenderedPageBreak/>
        <w:t xml:space="preserve">firms to investigate itself, and actively cooperated with the DOJ and SEC. The whole Board of Directors and Executive Board </w:t>
      </w:r>
      <w:r w:rsidR="00F66C65">
        <w:t>were</w:t>
      </w:r>
      <w:r>
        <w:t xml:space="preserve"> changed. New governance policies have been enacted, such as a four-eye approval policy, where substantive decisions must be signed by two supervisors, and a separate Division of Governance and Compliance (DGC)</w:t>
      </w:r>
      <w:r w:rsidR="00F66C65">
        <w:t>,</w:t>
      </w:r>
      <w:r>
        <w:t xml:space="preserve"> the chief officer of which could not be dismissed by the board without the support of a minority shareholder representative (</w:t>
      </w:r>
      <w:r w:rsidR="00F66C65" w:rsidRPr="00C74ECB">
        <w:t>Lima-de-Oliveira, 2020</w:t>
      </w:r>
      <w:r>
        <w:t>).</w:t>
      </w:r>
    </w:p>
    <w:p w14:paraId="32F9683D" w14:textId="2F44DF97" w:rsidR="006E755D" w:rsidRDefault="006E755D" w:rsidP="00F66C65">
      <w:pPr>
        <w:spacing w:line="480" w:lineRule="auto"/>
        <w:ind w:firstLine="720"/>
        <w:jc w:val="both"/>
      </w:pPr>
      <w:r>
        <w:t xml:space="preserve">The reforms resulted in a negotiated settlement of 1.8 billion. Importantly, the DOJ officially admitted that Petrobras was a victim and perpetrator, attributing its corrective measures. The current governance system of the company enforces anti-corruption policies and the company </w:t>
      </w:r>
      <w:proofErr w:type="gramStart"/>
      <w:r>
        <w:t>has to</w:t>
      </w:r>
      <w:proofErr w:type="gramEnd"/>
      <w:r>
        <w:t xml:space="preserve"> be involved in anti-corruption efforts that are in accordance with Brazilian laws and the FCPA and the UK Bribery Act (</w:t>
      </w:r>
      <w:r w:rsidR="00F66C65" w:rsidRPr="00C74ECB">
        <w:t>Leal</w:t>
      </w:r>
      <w:r w:rsidR="00F66C65">
        <w:t xml:space="preserve"> et al., 2026</w:t>
      </w:r>
      <w:r>
        <w:t>).</w:t>
      </w:r>
    </w:p>
    <w:p w14:paraId="2520B2BF" w14:textId="77777777" w:rsidR="006E755D" w:rsidRPr="00F66C65" w:rsidRDefault="006E755D" w:rsidP="00F66C65">
      <w:pPr>
        <w:spacing w:line="480" w:lineRule="auto"/>
        <w:jc w:val="center"/>
        <w:rPr>
          <w:b/>
          <w:bCs/>
        </w:rPr>
      </w:pPr>
      <w:r w:rsidRPr="00F66C65">
        <w:rPr>
          <w:b/>
          <w:bCs/>
        </w:rPr>
        <w:t>Comparative Evaluation and Conclusion.</w:t>
      </w:r>
    </w:p>
    <w:p w14:paraId="727617E9" w14:textId="77777777" w:rsidR="006E755D" w:rsidRDefault="006E755D" w:rsidP="00F66C65">
      <w:pPr>
        <w:spacing w:line="480" w:lineRule="auto"/>
        <w:ind w:firstLine="720"/>
        <w:jc w:val="both"/>
      </w:pPr>
      <w:r>
        <w:t>Both boards initially failed by either passivity or seized decision-making, Disney and Petrobras by state-complicated complicity and permitting a decade of corruption to thrive. The post-failure tracks, though, are very different. The Disney board has time after time responded to crises with shallow fixes: by renewing the contract of a CEO several months before firing him, by keeping in place shareholder-unfriendly governance practices, and by keeping executive compensation out of step with performance. Its social ESG stance has been reactive with swings back and forth without a clear stakeholder framework.</w:t>
      </w:r>
    </w:p>
    <w:p w14:paraId="37802D45" w14:textId="77777777" w:rsidR="006E755D" w:rsidRDefault="006E755D" w:rsidP="00F66C65">
      <w:pPr>
        <w:spacing w:line="480" w:lineRule="auto"/>
        <w:ind w:firstLine="720"/>
        <w:jc w:val="both"/>
      </w:pPr>
      <w:r>
        <w:t xml:space="preserve">In its turn, the board of Petrobras carried out a basic reconstitution. A qualitatively different response to governance is the replacement of the entire board and executive management, institutionalization of compliance infrastructure, and long-lasting collaboration with various international regulators. The fact that a catastrophic crisis was needed to bring about reform is not </w:t>
      </w:r>
      <w:r>
        <w:lastRenderedPageBreak/>
        <w:t>as substantive as the changes themselves, which are not only much more profound than the changes made by Disney, but also more enduring.</w:t>
      </w:r>
    </w:p>
    <w:p w14:paraId="7FA7070A" w14:textId="5572597E" w:rsidR="00F66C65" w:rsidRDefault="006E755D" w:rsidP="00F66C65">
      <w:pPr>
        <w:spacing w:line="480" w:lineRule="auto"/>
        <w:ind w:firstLine="720"/>
        <w:jc w:val="both"/>
      </w:pPr>
      <w:r>
        <w:t>Overall, the post-crisis board of Petrobras has done a better job at fulfilling its responsibility of monitoring the management in the light of ESG</w:t>
      </w:r>
      <w:r w:rsidR="00F66C65">
        <w:t>,</w:t>
      </w:r>
      <w:r>
        <w:t xml:space="preserve"> not because the initial failure was less significant, but </w:t>
      </w:r>
      <w:proofErr w:type="gramStart"/>
      <w:r>
        <w:t>due to the fact that</w:t>
      </w:r>
      <w:proofErr w:type="gramEnd"/>
      <w:r>
        <w:t xml:space="preserve"> the response made to address it was more thorough, externally audited, and institutionalized. To have good BOD oversight, one must be able to be independent and take tough reforms before being compelled by crises.</w:t>
      </w:r>
    </w:p>
    <w:p w14:paraId="1EE01B08" w14:textId="77777777" w:rsidR="00F66C65" w:rsidRDefault="00F66C65" w:rsidP="00F66C65">
      <w:pPr>
        <w:spacing w:line="480" w:lineRule="auto"/>
      </w:pPr>
      <w:r>
        <w:br w:type="page"/>
      </w:r>
    </w:p>
    <w:p w14:paraId="69BEBD55" w14:textId="0D7DAE80" w:rsidR="006E755D" w:rsidRPr="00F66C65" w:rsidRDefault="00F66C65" w:rsidP="00F66C65">
      <w:pPr>
        <w:spacing w:line="480" w:lineRule="auto"/>
        <w:jc w:val="center"/>
        <w:rPr>
          <w:b/>
          <w:bCs/>
        </w:rPr>
      </w:pPr>
      <w:r w:rsidRPr="00F66C65">
        <w:rPr>
          <w:b/>
          <w:bCs/>
        </w:rPr>
        <w:lastRenderedPageBreak/>
        <w:t>References</w:t>
      </w:r>
    </w:p>
    <w:p w14:paraId="6F50EEAB" w14:textId="5F94799E" w:rsidR="00F66C65" w:rsidRPr="00F66C65" w:rsidRDefault="00F66C65" w:rsidP="00F66C65">
      <w:pPr>
        <w:spacing w:line="480" w:lineRule="auto"/>
        <w:ind w:left="720" w:hanging="720"/>
        <w:jc w:val="both"/>
        <w:rPr>
          <w:u w:val="single"/>
        </w:rPr>
      </w:pPr>
      <w:r w:rsidRPr="00F66C65">
        <w:t xml:space="preserve">Britannica (2026). </w:t>
      </w:r>
      <w:r w:rsidRPr="00F66C65">
        <w:rPr>
          <w:i/>
          <w:iCs/>
        </w:rPr>
        <w:t>Petrobras scandal.</w:t>
      </w:r>
      <w:r w:rsidRPr="00F66C65">
        <w:t xml:space="preserve"> </w:t>
      </w:r>
      <w:r w:rsidRPr="00F66C65">
        <w:rPr>
          <w:u w:val="single"/>
        </w:rPr>
        <w:t>https://www.britannica.com/event/Petrobras-scandal</w:t>
      </w:r>
    </w:p>
    <w:p w14:paraId="0EE117D4" w14:textId="53839F60" w:rsidR="00F66C65" w:rsidRDefault="00F66C65" w:rsidP="00F66C65">
      <w:pPr>
        <w:spacing w:line="480" w:lineRule="auto"/>
        <w:ind w:left="720" w:hanging="720"/>
        <w:jc w:val="both"/>
      </w:pPr>
      <w:proofErr w:type="gramStart"/>
      <w:r w:rsidRPr="00C74ECB">
        <w:t>Goddard,</w:t>
      </w:r>
      <w:proofErr w:type="gramEnd"/>
      <w:r w:rsidRPr="00C74ECB">
        <w:t xml:space="preserve"> L. (2021). Upholding the Disney Utopia Through American Tragedy: A Study of The Walt Disney Company’s Responses to Pearl Harbor and 9/11.</w:t>
      </w:r>
      <w:r>
        <w:t xml:space="preserve"> </w:t>
      </w:r>
      <w:r w:rsidRPr="00F66C65">
        <w:rPr>
          <w:u w:val="single"/>
        </w:rPr>
        <w:t>https://americanstudies.ucdavis.edu/sites/g/files/dgvnsk7196/files/media/documents/LGThesis.pdf</w:t>
      </w:r>
    </w:p>
    <w:p w14:paraId="6C5BC8D9" w14:textId="5E6244A5" w:rsidR="00F66C65" w:rsidRDefault="00F66C65" w:rsidP="00F66C65">
      <w:pPr>
        <w:spacing w:line="480" w:lineRule="auto"/>
        <w:ind w:left="720" w:hanging="720"/>
        <w:jc w:val="both"/>
      </w:pPr>
      <w:r w:rsidRPr="00C74ECB">
        <w:t xml:space="preserve">Hester, J. (2023). We don't talk about homos: Queer activism and the fight to make# </w:t>
      </w:r>
      <w:proofErr w:type="spellStart"/>
      <w:r w:rsidRPr="00C74ECB">
        <w:t>DisneySayGay</w:t>
      </w:r>
      <w:proofErr w:type="spellEnd"/>
      <w:r w:rsidRPr="00C74ECB">
        <w:t>. In </w:t>
      </w:r>
      <w:r w:rsidRPr="00C74ECB">
        <w:rPr>
          <w:i/>
          <w:iCs/>
        </w:rPr>
        <w:t>Global LGBTQ Activism</w:t>
      </w:r>
      <w:r w:rsidRPr="00C74ECB">
        <w:t> (pp. 163-179). Routledge.</w:t>
      </w:r>
      <w:r>
        <w:t xml:space="preserve"> </w:t>
      </w:r>
      <w:r w:rsidRPr="00F66C65">
        <w:rPr>
          <w:u w:val="single"/>
        </w:rPr>
        <w:t>https://www.taylorfrancis.com/chapters/edit/10.4324/9781003395805-10/talk-homos-jennessa-hester</w:t>
      </w:r>
    </w:p>
    <w:p w14:paraId="18352CD0" w14:textId="6E5D9C91" w:rsidR="00F66C65" w:rsidRPr="00F66C65" w:rsidRDefault="00F66C65" w:rsidP="00F66C65">
      <w:pPr>
        <w:spacing w:line="480" w:lineRule="auto"/>
        <w:ind w:left="720" w:hanging="720"/>
        <w:jc w:val="both"/>
        <w:rPr>
          <w:u w:val="single"/>
        </w:rPr>
      </w:pPr>
      <w:r w:rsidRPr="00C74ECB">
        <w:t>Leal, A. B., &amp; Gallo, W. L. R. (2026). Petrobras and the abandonment of the downstream sector in Brazil. </w:t>
      </w:r>
      <w:r w:rsidRPr="00C74ECB">
        <w:rPr>
          <w:i/>
          <w:iCs/>
        </w:rPr>
        <w:t>The Extractive Industries and Society</w:t>
      </w:r>
      <w:r w:rsidRPr="00C74ECB">
        <w:t>, </w:t>
      </w:r>
      <w:r w:rsidRPr="00C74ECB">
        <w:rPr>
          <w:i/>
          <w:iCs/>
        </w:rPr>
        <w:t>25</w:t>
      </w:r>
      <w:r w:rsidRPr="00C74ECB">
        <w:t>, 101766.</w:t>
      </w:r>
      <w:r>
        <w:t xml:space="preserve"> </w:t>
      </w:r>
      <w:r w:rsidRPr="00F66C65">
        <w:rPr>
          <w:u w:val="single"/>
        </w:rPr>
        <w:t>https://www.sciencedirect.com/science/article/pii/S2214790X25001558</w:t>
      </w:r>
    </w:p>
    <w:p w14:paraId="4B04E454" w14:textId="77777777" w:rsidR="00F66C65" w:rsidRPr="00F66C65" w:rsidRDefault="00F66C65" w:rsidP="00F66C65">
      <w:pPr>
        <w:spacing w:line="480" w:lineRule="auto"/>
        <w:ind w:left="720" w:hanging="720"/>
        <w:jc w:val="both"/>
        <w:rPr>
          <w:u w:val="single"/>
        </w:rPr>
      </w:pPr>
      <w:r w:rsidRPr="00C74ECB">
        <w:t>Lima-de-Oliveira, R. (2020). Corruption and local content development: Assessing the impact of the Petrobras’ scandal on recent policy changes in Brazil. </w:t>
      </w:r>
      <w:r w:rsidRPr="00C74ECB">
        <w:rPr>
          <w:i/>
          <w:iCs/>
        </w:rPr>
        <w:t>The Extractive Industries and Society</w:t>
      </w:r>
      <w:r w:rsidRPr="00C74ECB">
        <w:t>, </w:t>
      </w:r>
      <w:r w:rsidRPr="00C74ECB">
        <w:rPr>
          <w:i/>
          <w:iCs/>
        </w:rPr>
        <w:t>7</w:t>
      </w:r>
      <w:r w:rsidRPr="00C74ECB">
        <w:t>(2), 274-282.</w:t>
      </w:r>
      <w:r>
        <w:t xml:space="preserve"> </w:t>
      </w:r>
      <w:r w:rsidRPr="00F66C65">
        <w:rPr>
          <w:u w:val="single"/>
        </w:rPr>
        <w:t>https://www.sciencedirect.com/science/article/pii/S2214790X19300747</w:t>
      </w:r>
    </w:p>
    <w:p w14:paraId="15B85045" w14:textId="461F16F8" w:rsidR="00F66C65" w:rsidRPr="00F66C65" w:rsidRDefault="00F66C65" w:rsidP="00F66C65">
      <w:pPr>
        <w:spacing w:line="480" w:lineRule="auto"/>
        <w:ind w:left="720" w:hanging="720"/>
        <w:jc w:val="both"/>
        <w:rPr>
          <w:u w:val="single"/>
        </w:rPr>
      </w:pPr>
      <w:proofErr w:type="spellStart"/>
      <w:r w:rsidRPr="00C74ECB">
        <w:t>Liotopoulos</w:t>
      </w:r>
      <w:proofErr w:type="spellEnd"/>
      <w:r w:rsidRPr="00C74ECB">
        <w:t>, A. (2023). The story behind the mouse: Transformational leadership at the Walt Disney Company. </w:t>
      </w:r>
      <w:r w:rsidRPr="00C74ECB">
        <w:rPr>
          <w:i/>
          <w:iCs/>
        </w:rPr>
        <w:t>Journal of Global Awareness</w:t>
      </w:r>
      <w:r w:rsidRPr="00C74ECB">
        <w:t>, </w:t>
      </w:r>
      <w:r w:rsidRPr="00C74ECB">
        <w:rPr>
          <w:i/>
          <w:iCs/>
        </w:rPr>
        <w:t>4</w:t>
      </w:r>
      <w:r w:rsidRPr="00C74ECB">
        <w:t>(1), 8.</w:t>
      </w:r>
      <w:r>
        <w:t xml:space="preserve"> </w:t>
      </w:r>
      <w:r w:rsidRPr="00F66C65">
        <w:rPr>
          <w:u w:val="single"/>
        </w:rPr>
        <w:t>https://scholar.stjohns.edu/jga/vol4/iss1/8/</w:t>
      </w:r>
    </w:p>
    <w:p w14:paraId="019FDE44" w14:textId="127E27BF" w:rsidR="00AC73F3" w:rsidRDefault="00F66C65" w:rsidP="00F66C65">
      <w:pPr>
        <w:spacing w:line="480" w:lineRule="auto"/>
        <w:ind w:left="720" w:hanging="720"/>
        <w:jc w:val="both"/>
      </w:pPr>
      <w:r w:rsidRPr="00C74ECB">
        <w:t>Luiten, S. C. (2020). Corporate social responsibility and consumerism: case examples from Hyatt, Scandic and Walt Disney. </w:t>
      </w:r>
      <w:r w:rsidRPr="00C74ECB">
        <w:rPr>
          <w:i/>
          <w:iCs/>
        </w:rPr>
        <w:t>Worldwide Hospitality and Tourism Themes</w:t>
      </w:r>
      <w:r w:rsidRPr="00C74ECB">
        <w:t>, </w:t>
      </w:r>
      <w:r w:rsidRPr="00C74ECB">
        <w:rPr>
          <w:i/>
          <w:iCs/>
        </w:rPr>
        <w:t>12</w:t>
      </w:r>
      <w:r w:rsidRPr="00C74ECB">
        <w:t>(5), 547-562.</w:t>
      </w:r>
      <w:r>
        <w:t xml:space="preserve"> </w:t>
      </w:r>
      <w:r w:rsidRPr="00F66C65">
        <w:rPr>
          <w:u w:val="single"/>
        </w:rPr>
        <w:t>https://www.emerald.com/whatt/article-abstract/12/5/547/385989</w:t>
      </w:r>
    </w:p>
    <w:sectPr w:rsidR="00AC73F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2E7E" w14:textId="77777777" w:rsidR="00F374FB" w:rsidRDefault="00F374FB" w:rsidP="00513420">
      <w:r>
        <w:separator/>
      </w:r>
    </w:p>
  </w:endnote>
  <w:endnote w:type="continuationSeparator" w:id="0">
    <w:p w14:paraId="1D544391" w14:textId="77777777" w:rsidR="00F374FB" w:rsidRDefault="00F374FB" w:rsidP="00513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798F" w14:textId="77777777" w:rsidR="00F374FB" w:rsidRDefault="00F374FB" w:rsidP="00513420">
      <w:r>
        <w:separator/>
      </w:r>
    </w:p>
  </w:footnote>
  <w:footnote w:type="continuationSeparator" w:id="0">
    <w:p w14:paraId="078F9434" w14:textId="77777777" w:rsidR="00F374FB" w:rsidRDefault="00F374FB" w:rsidP="00513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377387"/>
      <w:docPartObj>
        <w:docPartGallery w:val="Page Numbers (Top of Page)"/>
        <w:docPartUnique/>
      </w:docPartObj>
    </w:sdtPr>
    <w:sdtEndPr>
      <w:rPr>
        <w:noProof/>
      </w:rPr>
    </w:sdtEndPr>
    <w:sdtContent>
      <w:p w14:paraId="4708905E" w14:textId="784C33C3" w:rsidR="00513420" w:rsidRDefault="005134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E51828" w14:textId="77777777" w:rsidR="00513420" w:rsidRDefault="00513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43B0A"/>
    <w:multiLevelType w:val="hybridMultilevel"/>
    <w:tmpl w:val="5B288084"/>
    <w:lvl w:ilvl="0" w:tplc="AE382E42">
      <w:start w:val="1"/>
      <w:numFmt w:val="bullet"/>
      <w:lvlText w:val="●"/>
      <w:lvlJc w:val="left"/>
      <w:pPr>
        <w:ind w:left="720" w:hanging="360"/>
      </w:pPr>
    </w:lvl>
    <w:lvl w:ilvl="1" w:tplc="E2964304">
      <w:start w:val="1"/>
      <w:numFmt w:val="bullet"/>
      <w:lvlText w:val="○"/>
      <w:lvlJc w:val="left"/>
      <w:pPr>
        <w:ind w:left="1440" w:hanging="360"/>
      </w:pPr>
    </w:lvl>
    <w:lvl w:ilvl="2" w:tplc="3B58FD98">
      <w:start w:val="1"/>
      <w:numFmt w:val="bullet"/>
      <w:lvlText w:val="■"/>
      <w:lvlJc w:val="left"/>
      <w:pPr>
        <w:ind w:left="2160" w:hanging="360"/>
      </w:pPr>
    </w:lvl>
    <w:lvl w:ilvl="3" w:tplc="72861C0E">
      <w:start w:val="1"/>
      <w:numFmt w:val="bullet"/>
      <w:lvlText w:val="●"/>
      <w:lvlJc w:val="left"/>
      <w:pPr>
        <w:ind w:left="2880" w:hanging="360"/>
      </w:pPr>
    </w:lvl>
    <w:lvl w:ilvl="4" w:tplc="945892C4">
      <w:start w:val="1"/>
      <w:numFmt w:val="bullet"/>
      <w:lvlText w:val="○"/>
      <w:lvlJc w:val="left"/>
      <w:pPr>
        <w:ind w:left="3600" w:hanging="360"/>
      </w:pPr>
    </w:lvl>
    <w:lvl w:ilvl="5" w:tplc="0CD6AA68">
      <w:start w:val="1"/>
      <w:numFmt w:val="bullet"/>
      <w:lvlText w:val="■"/>
      <w:lvlJc w:val="left"/>
      <w:pPr>
        <w:ind w:left="4320" w:hanging="360"/>
      </w:pPr>
    </w:lvl>
    <w:lvl w:ilvl="6" w:tplc="0B60CDF6">
      <w:start w:val="1"/>
      <w:numFmt w:val="bullet"/>
      <w:lvlText w:val="●"/>
      <w:lvlJc w:val="left"/>
      <w:pPr>
        <w:ind w:left="5040" w:hanging="360"/>
      </w:pPr>
    </w:lvl>
    <w:lvl w:ilvl="7" w:tplc="E1AAE532">
      <w:start w:val="1"/>
      <w:numFmt w:val="bullet"/>
      <w:lvlText w:val="●"/>
      <w:lvlJc w:val="left"/>
      <w:pPr>
        <w:ind w:left="5760" w:hanging="360"/>
      </w:pPr>
    </w:lvl>
    <w:lvl w:ilvl="8" w:tplc="35F67E0C">
      <w:start w:val="1"/>
      <w:numFmt w:val="bullet"/>
      <w:lvlText w:val="●"/>
      <w:lvlJc w:val="left"/>
      <w:pPr>
        <w:ind w:left="6480" w:hanging="360"/>
      </w:pPr>
    </w:lvl>
  </w:abstractNum>
  <w:num w:numId="1" w16cid:durableId="360322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3F3"/>
    <w:rsid w:val="00054F51"/>
    <w:rsid w:val="002326C0"/>
    <w:rsid w:val="00355027"/>
    <w:rsid w:val="00362B46"/>
    <w:rsid w:val="00513420"/>
    <w:rsid w:val="006447B5"/>
    <w:rsid w:val="006E755D"/>
    <w:rsid w:val="00753809"/>
    <w:rsid w:val="00AC73F3"/>
    <w:rsid w:val="00AD674C"/>
    <w:rsid w:val="00E61A25"/>
    <w:rsid w:val="00F374FB"/>
    <w:rsid w:val="00F66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4B6D"/>
  <w15:docId w15:val="{702C118C-05EC-4E94-B0A5-87B1F22A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40" w:after="120"/>
      <w:outlineLvl w:val="1"/>
    </w:pPr>
    <w:rPr>
      <w:b/>
      <w:bCs/>
      <w:color w:val="2E405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66C65"/>
    <w:rPr>
      <w:color w:val="605E5C"/>
      <w:shd w:val="clear" w:color="auto" w:fill="E1DFDD"/>
    </w:rPr>
  </w:style>
  <w:style w:type="paragraph" w:styleId="Header">
    <w:name w:val="header"/>
    <w:basedOn w:val="Normal"/>
    <w:link w:val="HeaderChar"/>
    <w:uiPriority w:val="99"/>
    <w:unhideWhenUsed/>
    <w:rsid w:val="00513420"/>
    <w:pPr>
      <w:tabs>
        <w:tab w:val="center" w:pos="4680"/>
        <w:tab w:val="right" w:pos="9360"/>
      </w:tabs>
    </w:pPr>
  </w:style>
  <w:style w:type="character" w:customStyle="1" w:styleId="HeaderChar">
    <w:name w:val="Header Char"/>
    <w:basedOn w:val="DefaultParagraphFont"/>
    <w:link w:val="Header"/>
    <w:uiPriority w:val="99"/>
    <w:rsid w:val="00513420"/>
  </w:style>
  <w:style w:type="paragraph" w:styleId="Footer">
    <w:name w:val="footer"/>
    <w:basedOn w:val="Normal"/>
    <w:link w:val="FooterChar"/>
    <w:uiPriority w:val="99"/>
    <w:unhideWhenUsed/>
    <w:rsid w:val="00513420"/>
    <w:pPr>
      <w:tabs>
        <w:tab w:val="center" w:pos="4680"/>
        <w:tab w:val="right" w:pos="9360"/>
      </w:tabs>
    </w:pPr>
  </w:style>
  <w:style w:type="character" w:customStyle="1" w:styleId="FooterChar">
    <w:name w:val="Footer Char"/>
    <w:basedOn w:val="DefaultParagraphFont"/>
    <w:link w:val="Footer"/>
    <w:uiPriority w:val="99"/>
    <w:rsid w:val="00513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1489</Words>
  <Characters>8491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Admin</cp:lastModifiedBy>
  <cp:revision>2</cp:revision>
  <dcterms:created xsi:type="dcterms:W3CDTF">2026-04-10T04:33:00Z</dcterms:created>
  <dcterms:modified xsi:type="dcterms:W3CDTF">2026-04-10T04:33:00Z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67366e59-60c4-499d-a59a-7fd0007970ed</vt:lpwstr>
  </property>
</Properties>
</file>