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C175" w14:textId="77777777" w:rsidR="00067F89" w:rsidRPr="00067F89" w:rsidRDefault="00067F89" w:rsidP="00067F89">
      <w:pPr>
        <w:spacing w:after="55" w:line="360" w:lineRule="auto"/>
        <w:jc w:val="center"/>
        <w:rPr>
          <w:rFonts w:eastAsia="Calibri" w:cs="Times New Roman"/>
          <w:b/>
          <w:bCs/>
          <w:szCs w:val="24"/>
        </w:rPr>
      </w:pPr>
    </w:p>
    <w:p w14:paraId="59367880" w14:textId="77777777" w:rsidR="00067F89" w:rsidRPr="00067F89" w:rsidRDefault="00067F89" w:rsidP="00067F89">
      <w:pPr>
        <w:spacing w:after="55" w:line="360" w:lineRule="auto"/>
        <w:jc w:val="center"/>
        <w:rPr>
          <w:rFonts w:eastAsia="Calibri" w:cs="Times New Roman"/>
          <w:b/>
          <w:bCs/>
          <w:szCs w:val="24"/>
        </w:rPr>
      </w:pPr>
    </w:p>
    <w:p w14:paraId="01A7D704" w14:textId="77777777" w:rsidR="00067F89" w:rsidRPr="00067F89" w:rsidRDefault="00067F89" w:rsidP="00067F89">
      <w:pPr>
        <w:spacing w:after="55" w:line="360" w:lineRule="auto"/>
        <w:jc w:val="center"/>
        <w:rPr>
          <w:rFonts w:eastAsia="Calibri" w:cs="Times New Roman"/>
          <w:b/>
          <w:bCs/>
          <w:szCs w:val="24"/>
        </w:rPr>
      </w:pPr>
    </w:p>
    <w:p w14:paraId="049CABFF" w14:textId="77777777" w:rsidR="00067F89" w:rsidRPr="00067F89" w:rsidRDefault="00067F89" w:rsidP="00067F89">
      <w:pPr>
        <w:spacing w:after="55" w:line="360" w:lineRule="auto"/>
        <w:jc w:val="center"/>
        <w:rPr>
          <w:rFonts w:eastAsia="Calibri" w:cs="Times New Roman"/>
          <w:b/>
          <w:bCs/>
          <w:szCs w:val="24"/>
        </w:rPr>
      </w:pPr>
    </w:p>
    <w:p w14:paraId="68FF259B" w14:textId="77777777" w:rsidR="00067F89" w:rsidRPr="00067F89" w:rsidRDefault="00067F89" w:rsidP="00067F89">
      <w:pPr>
        <w:spacing w:after="55" w:line="360" w:lineRule="auto"/>
        <w:jc w:val="center"/>
        <w:rPr>
          <w:rFonts w:eastAsia="Calibri" w:cs="Times New Roman"/>
          <w:b/>
          <w:bCs/>
          <w:szCs w:val="24"/>
        </w:rPr>
      </w:pPr>
    </w:p>
    <w:p w14:paraId="4E887526" w14:textId="5188D688" w:rsidR="00D22EDE" w:rsidRPr="00067F89" w:rsidRDefault="00D22EDE" w:rsidP="00067F89">
      <w:pPr>
        <w:spacing w:after="55" w:line="360" w:lineRule="auto"/>
        <w:jc w:val="center"/>
        <w:rPr>
          <w:rFonts w:cs="Times New Roman"/>
          <w:szCs w:val="24"/>
        </w:rPr>
      </w:pPr>
      <w:r w:rsidRPr="00067F89">
        <w:rPr>
          <w:rFonts w:eastAsia="Calibri" w:cs="Times New Roman"/>
          <w:b/>
          <w:bCs/>
          <w:szCs w:val="24"/>
        </w:rPr>
        <w:t>Research Design</w:t>
      </w:r>
    </w:p>
    <w:p w14:paraId="640305F9" w14:textId="77777777" w:rsidR="00D22EDE" w:rsidRPr="00067F89" w:rsidRDefault="00D22EDE" w:rsidP="00067F89">
      <w:pPr>
        <w:spacing w:after="60" w:line="360" w:lineRule="auto"/>
        <w:jc w:val="center"/>
        <w:rPr>
          <w:rFonts w:eastAsia="Calibri" w:cs="Times New Roman"/>
          <w:szCs w:val="24"/>
        </w:rPr>
      </w:pPr>
      <w:r w:rsidRPr="00067F89">
        <w:rPr>
          <w:rFonts w:eastAsia="Calibri" w:cs="Times New Roman"/>
          <w:szCs w:val="24"/>
        </w:rPr>
        <w:t>The Impact of ESG Performance on Corporate Value: UAE-Listed Commercial Banks</w:t>
      </w:r>
    </w:p>
    <w:p w14:paraId="406C8F18" w14:textId="77777777" w:rsidR="00067F89" w:rsidRPr="00067F89" w:rsidRDefault="00067F89" w:rsidP="00067F89">
      <w:pPr>
        <w:spacing w:after="60" w:line="360" w:lineRule="auto"/>
        <w:jc w:val="center"/>
        <w:rPr>
          <w:rFonts w:eastAsia="Calibri" w:cs="Times New Roman"/>
          <w:szCs w:val="24"/>
        </w:rPr>
      </w:pPr>
    </w:p>
    <w:p w14:paraId="4A758C0A" w14:textId="77777777" w:rsidR="00067F89" w:rsidRPr="00067F89" w:rsidRDefault="00067F89" w:rsidP="00067F89">
      <w:pPr>
        <w:spacing w:after="60" w:line="360" w:lineRule="auto"/>
        <w:jc w:val="center"/>
        <w:rPr>
          <w:rFonts w:eastAsia="Calibri" w:cs="Times New Roman"/>
          <w:szCs w:val="24"/>
        </w:rPr>
      </w:pPr>
    </w:p>
    <w:p w14:paraId="41D38468" w14:textId="77777777" w:rsidR="00067F89" w:rsidRPr="00067F89" w:rsidRDefault="00067F89" w:rsidP="00067F89">
      <w:pPr>
        <w:spacing w:after="60" w:line="360" w:lineRule="auto"/>
        <w:jc w:val="center"/>
        <w:rPr>
          <w:rFonts w:eastAsia="Calibri" w:cs="Times New Roman"/>
          <w:szCs w:val="24"/>
        </w:rPr>
      </w:pPr>
    </w:p>
    <w:p w14:paraId="2D9CB505" w14:textId="5D542E29" w:rsidR="00067F89" w:rsidRPr="00067F89" w:rsidRDefault="00067F89" w:rsidP="00067F89">
      <w:pPr>
        <w:spacing w:after="60" w:line="360" w:lineRule="auto"/>
        <w:jc w:val="center"/>
        <w:rPr>
          <w:rFonts w:eastAsia="Calibri" w:cs="Times New Roman"/>
          <w:szCs w:val="24"/>
        </w:rPr>
      </w:pPr>
      <w:r w:rsidRPr="00067F89">
        <w:rPr>
          <w:rFonts w:eastAsia="Calibri" w:cs="Times New Roman"/>
          <w:szCs w:val="24"/>
        </w:rPr>
        <w:t>Student name</w:t>
      </w:r>
    </w:p>
    <w:p w14:paraId="0147682E" w14:textId="7C9C1825" w:rsidR="00067F89" w:rsidRPr="00067F89" w:rsidRDefault="00067F89" w:rsidP="00067F89">
      <w:pPr>
        <w:spacing w:after="60" w:line="360" w:lineRule="auto"/>
        <w:jc w:val="center"/>
        <w:rPr>
          <w:rFonts w:eastAsia="Calibri" w:cs="Times New Roman"/>
          <w:szCs w:val="24"/>
        </w:rPr>
      </w:pPr>
      <w:r w:rsidRPr="00067F89">
        <w:rPr>
          <w:rFonts w:eastAsia="Calibri" w:cs="Times New Roman"/>
          <w:szCs w:val="24"/>
        </w:rPr>
        <w:t>Course name</w:t>
      </w:r>
    </w:p>
    <w:p w14:paraId="2DF040EF" w14:textId="7B9AEFED" w:rsidR="00067F89" w:rsidRPr="00067F89" w:rsidRDefault="00067F89" w:rsidP="00067F89">
      <w:pPr>
        <w:spacing w:after="60" w:line="360" w:lineRule="auto"/>
        <w:jc w:val="center"/>
        <w:rPr>
          <w:rFonts w:eastAsia="Calibri" w:cs="Times New Roman"/>
          <w:szCs w:val="24"/>
        </w:rPr>
      </w:pPr>
      <w:r w:rsidRPr="00067F89">
        <w:rPr>
          <w:rFonts w:eastAsia="Calibri" w:cs="Times New Roman"/>
          <w:szCs w:val="24"/>
        </w:rPr>
        <w:t>Instructor</w:t>
      </w:r>
    </w:p>
    <w:p w14:paraId="73A58C1E" w14:textId="01F35DD3" w:rsidR="00067F89" w:rsidRPr="00067F89" w:rsidRDefault="00067F89" w:rsidP="00067F89">
      <w:pPr>
        <w:spacing w:after="60" w:line="360" w:lineRule="auto"/>
        <w:jc w:val="center"/>
        <w:rPr>
          <w:rFonts w:eastAsia="Calibri" w:cs="Times New Roman"/>
          <w:szCs w:val="24"/>
        </w:rPr>
      </w:pPr>
      <w:r w:rsidRPr="00067F89">
        <w:rPr>
          <w:rFonts w:eastAsia="Calibri" w:cs="Times New Roman"/>
          <w:szCs w:val="24"/>
        </w:rPr>
        <w:t>Date</w:t>
      </w:r>
    </w:p>
    <w:p w14:paraId="09ADB567" w14:textId="225946CF" w:rsidR="00067F89" w:rsidRPr="00067F89" w:rsidRDefault="00067F89" w:rsidP="00067F89">
      <w:pPr>
        <w:spacing w:line="360" w:lineRule="auto"/>
        <w:jc w:val="both"/>
        <w:rPr>
          <w:rFonts w:eastAsia="Calibri" w:cs="Times New Roman"/>
          <w:szCs w:val="24"/>
        </w:rPr>
      </w:pPr>
      <w:r w:rsidRPr="00067F89">
        <w:rPr>
          <w:rFonts w:eastAsia="Calibri" w:cs="Times New Roman"/>
          <w:szCs w:val="24"/>
        </w:rPr>
        <w:br w:type="page"/>
      </w:r>
    </w:p>
    <w:p w14:paraId="5714A846" w14:textId="77777777" w:rsidR="00D22EDE" w:rsidRPr="00067F89" w:rsidRDefault="00D22EDE" w:rsidP="00067F89">
      <w:pPr>
        <w:spacing w:line="360" w:lineRule="auto"/>
        <w:jc w:val="both"/>
        <w:rPr>
          <w:rFonts w:cs="Times New Roman"/>
          <w:szCs w:val="24"/>
        </w:rPr>
      </w:pPr>
    </w:p>
    <w:p w14:paraId="28266D89" w14:textId="6B9BE7B3" w:rsidR="005B5FCE" w:rsidRPr="00067F89" w:rsidRDefault="005B5FCE" w:rsidP="00067F89">
      <w:pPr>
        <w:spacing w:line="360" w:lineRule="auto"/>
        <w:jc w:val="both"/>
        <w:rPr>
          <w:rFonts w:cs="Times New Roman"/>
          <w:b/>
          <w:bCs/>
          <w:szCs w:val="24"/>
        </w:rPr>
      </w:pPr>
      <w:r w:rsidRPr="00067F89">
        <w:rPr>
          <w:rFonts w:cs="Times New Roman"/>
          <w:b/>
          <w:bCs/>
          <w:szCs w:val="24"/>
        </w:rPr>
        <w:t>1. Introduction</w:t>
      </w:r>
    </w:p>
    <w:p w14:paraId="6544DD62" w14:textId="6DCF2442" w:rsidR="005B5FCE" w:rsidRPr="00067F89" w:rsidRDefault="005B5FCE" w:rsidP="00067F89">
      <w:pPr>
        <w:spacing w:line="360" w:lineRule="auto"/>
        <w:jc w:val="both"/>
        <w:rPr>
          <w:rFonts w:cs="Times New Roman"/>
          <w:szCs w:val="24"/>
        </w:rPr>
      </w:pPr>
      <w:r w:rsidRPr="00067F89">
        <w:rPr>
          <w:rFonts w:cs="Times New Roman"/>
          <w:szCs w:val="24"/>
        </w:rPr>
        <w:t xml:space="preserve">The study </w:t>
      </w:r>
      <w:r w:rsidRPr="00067F89">
        <w:rPr>
          <w:rFonts w:eastAsia="Calibri" w:cs="Times New Roman"/>
          <w:szCs w:val="24"/>
        </w:rPr>
        <w:t>investigates the impact of Environmental, Social, and Governance (ESG) performance on the corporate value of commercial banks listed on the Abu Dhabi Securities Exchange (ADX) and Dubai Financial Market (DFM) in the UAE</w:t>
      </w:r>
      <w:r w:rsidRPr="00067F89">
        <w:rPr>
          <w:rFonts w:cs="Times New Roman"/>
          <w:szCs w:val="24"/>
        </w:rPr>
        <w:t>. Although there is an emerging body of literature on the relationship between ESG practices and firm performance, research on the impact of ESG on quantitative valuation of firms is still scarce in the Gulf Cooperation Council (GCC) banking markets, with most of the studies concentrating on their disclosure practices (El Khoury, Nasrallah and Alareeni, 2021). This paper fills that gap by using Python-based financial modelling to measure the ESG–value relationship.</w:t>
      </w:r>
    </w:p>
    <w:p w14:paraId="4D212C00" w14:textId="77777777" w:rsidR="005B5FCE" w:rsidRPr="00067F89" w:rsidRDefault="005B5FCE" w:rsidP="00067F89">
      <w:pPr>
        <w:spacing w:line="360" w:lineRule="auto"/>
        <w:jc w:val="both"/>
        <w:rPr>
          <w:rFonts w:cs="Times New Roman"/>
          <w:szCs w:val="24"/>
        </w:rPr>
      </w:pPr>
      <w:r w:rsidRPr="00067F89">
        <w:rPr>
          <w:rFonts w:cs="Times New Roman"/>
          <w:szCs w:val="24"/>
        </w:rPr>
        <w:t>The research is based on three theories. Resource-Based View (RBV) places ESG capabilities in the role of strategic intangible resources that create sustainable competitive advantage (Huang and Zhou, 2024). Stakeholder Theory (Freeman, 1984, as cited in Mahajan et al., 2023) defines ESG as a relationship management tool in dealing with regulators, investors, and society, particularly relationships that have become more and more decisive in terms of sustainability in the context of UAE banks. The Agency Theory (Jensen and Meckling, 1976, as cited in Abdullah et al., 2025) suggests that the ESG spending can be spent at the discretion of the managers, instead of advancing shareholder value, which qualifies the assumption of the existence of a uniformly positive ESG-performance relationship. This paper is informed by four research questions:</w:t>
      </w:r>
    </w:p>
    <w:p w14:paraId="5CE79C6A" w14:textId="70630B8A" w:rsidR="005B5FCE" w:rsidRPr="00067F89" w:rsidRDefault="005B5FCE" w:rsidP="00067F89">
      <w:pPr>
        <w:pStyle w:val="ListParagraph"/>
        <w:numPr>
          <w:ilvl w:val="0"/>
          <w:numId w:val="1"/>
        </w:numPr>
        <w:spacing w:before="45" w:after="45" w:line="360" w:lineRule="auto"/>
        <w:contextualSpacing w:val="0"/>
        <w:jc w:val="both"/>
        <w:rPr>
          <w:rFonts w:cs="Times New Roman"/>
          <w:szCs w:val="24"/>
        </w:rPr>
      </w:pPr>
      <w:r w:rsidRPr="00067F89">
        <w:rPr>
          <w:rFonts w:eastAsia="Calibri" w:cs="Times New Roman"/>
          <w:szCs w:val="24"/>
        </w:rPr>
        <w:t>RQ1: What is the relationship between ESG performance and firm valuation indicators (Tobin's Q and ROA) in UAE-listed commercial banks?</w:t>
      </w:r>
    </w:p>
    <w:p w14:paraId="3C6879BB" w14:textId="77777777" w:rsidR="005B5FCE" w:rsidRPr="00067F89" w:rsidRDefault="005B5FCE" w:rsidP="00067F89">
      <w:pPr>
        <w:pStyle w:val="ListParagraph"/>
        <w:numPr>
          <w:ilvl w:val="0"/>
          <w:numId w:val="1"/>
        </w:numPr>
        <w:spacing w:before="45" w:after="45" w:line="360" w:lineRule="auto"/>
        <w:contextualSpacing w:val="0"/>
        <w:jc w:val="both"/>
        <w:rPr>
          <w:rFonts w:cs="Times New Roman"/>
          <w:szCs w:val="24"/>
        </w:rPr>
      </w:pPr>
      <w:r w:rsidRPr="00067F89">
        <w:rPr>
          <w:rFonts w:eastAsia="Calibri" w:cs="Times New Roman"/>
          <w:szCs w:val="24"/>
        </w:rPr>
        <w:t>RQ2: Does ESG adoption affect risk measures, specifically stock return volatility and cost of equity capital?</w:t>
      </w:r>
    </w:p>
    <w:p w14:paraId="0F12D201" w14:textId="77777777" w:rsidR="005B5FCE" w:rsidRPr="00067F89" w:rsidRDefault="005B5FCE" w:rsidP="00067F89">
      <w:pPr>
        <w:pStyle w:val="ListParagraph"/>
        <w:numPr>
          <w:ilvl w:val="0"/>
          <w:numId w:val="1"/>
        </w:numPr>
        <w:spacing w:before="45" w:after="45" w:line="360" w:lineRule="auto"/>
        <w:contextualSpacing w:val="0"/>
        <w:jc w:val="both"/>
        <w:rPr>
          <w:rFonts w:cs="Times New Roman"/>
          <w:szCs w:val="24"/>
        </w:rPr>
      </w:pPr>
      <w:r w:rsidRPr="00067F89">
        <w:rPr>
          <w:rFonts w:eastAsia="Calibri" w:cs="Times New Roman"/>
          <w:szCs w:val="24"/>
        </w:rPr>
        <w:t>RQ3: Are ESG practices strategic value drivers or merely signalling mechanisms in the UAE banking context?</w:t>
      </w:r>
    </w:p>
    <w:p w14:paraId="600F2663" w14:textId="77777777" w:rsidR="005B5FCE" w:rsidRPr="00067F89" w:rsidRDefault="005B5FCE" w:rsidP="00067F89">
      <w:pPr>
        <w:pStyle w:val="ListParagraph"/>
        <w:numPr>
          <w:ilvl w:val="0"/>
          <w:numId w:val="1"/>
        </w:numPr>
        <w:spacing w:before="45" w:after="45" w:line="360" w:lineRule="auto"/>
        <w:contextualSpacing w:val="0"/>
        <w:jc w:val="both"/>
        <w:rPr>
          <w:rFonts w:cs="Times New Roman"/>
          <w:szCs w:val="24"/>
        </w:rPr>
      </w:pPr>
      <w:r w:rsidRPr="00067F89">
        <w:rPr>
          <w:rFonts w:eastAsia="Calibri" w:cs="Times New Roman"/>
          <w:szCs w:val="24"/>
        </w:rPr>
        <w:t>RQ4: How can Python-based financial modelling quantify and explain the relationship between ESG factors and corporate value?</w:t>
      </w:r>
    </w:p>
    <w:p w14:paraId="58BA3B54"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2. Research Philosophy</w:t>
      </w:r>
    </w:p>
    <w:p w14:paraId="7B82E0A0" w14:textId="098A5D5F" w:rsidR="005B5FCE" w:rsidRPr="00067F89" w:rsidRDefault="005B5FCE" w:rsidP="00067F89">
      <w:pPr>
        <w:spacing w:line="360" w:lineRule="auto"/>
        <w:jc w:val="both"/>
        <w:rPr>
          <w:rFonts w:cs="Times New Roman"/>
          <w:szCs w:val="24"/>
        </w:rPr>
      </w:pPr>
      <w:r w:rsidRPr="00067F89">
        <w:rPr>
          <w:rFonts w:cs="Times New Roman"/>
          <w:szCs w:val="24"/>
        </w:rPr>
        <w:lastRenderedPageBreak/>
        <w:t>The epistemological stance</w:t>
      </w:r>
      <w:r w:rsidRPr="00067F89">
        <w:rPr>
          <w:rFonts w:cs="Times New Roman"/>
          <w:szCs w:val="24"/>
        </w:rPr>
        <w:t xml:space="preserve"> adopted</w:t>
      </w:r>
      <w:r w:rsidRPr="00067F89">
        <w:rPr>
          <w:rFonts w:cs="Times New Roman"/>
          <w:szCs w:val="24"/>
        </w:rPr>
        <w:t xml:space="preserve"> in the present research must be justified intentionally because it directly defines the type of admissible evidence and the measure of evaluation of the conclusions (Crotty, 1998). There are three relevant paradigms: positivism, post-positivism, and interpretivism.</w:t>
      </w:r>
    </w:p>
    <w:p w14:paraId="2D0E228A" w14:textId="77777777" w:rsidR="005B5FCE" w:rsidRPr="00067F89" w:rsidRDefault="005B5FCE" w:rsidP="00067F89">
      <w:pPr>
        <w:spacing w:line="360" w:lineRule="auto"/>
        <w:jc w:val="both"/>
        <w:rPr>
          <w:rFonts w:cs="Times New Roman"/>
          <w:szCs w:val="24"/>
        </w:rPr>
      </w:pPr>
      <w:r w:rsidRPr="00067F89">
        <w:rPr>
          <w:rFonts w:cs="Times New Roman"/>
          <w:szCs w:val="24"/>
        </w:rPr>
        <w:t>Positivism is the belief that the social reality is objective, governed by laws, and that it exists beyond the observer, and can be studied or known by measurement and empirical validation (Bryman, 2016). A pure positivist approach would consider ESG scores and firm value measures to be objective, exact amounts and would claim causal relationships are determinable. Nonetheless, even the ESG scores are themselves created in heterogeneous ways across rating agencies Bloomberg, Refinitiv, and MSCI provide vastly different ratings on the same firm (Berg, Koelbel and Rigobon, 2022) which creates uncertainty of measurement that cannot be addressed by strict positivism.</w:t>
      </w:r>
    </w:p>
    <w:p w14:paraId="1DDEFC28" w14:textId="5A8A3BF6" w:rsidR="005B5FCE" w:rsidRPr="00067F89" w:rsidRDefault="005B5FCE" w:rsidP="00067F89">
      <w:pPr>
        <w:spacing w:line="360" w:lineRule="auto"/>
        <w:jc w:val="both"/>
        <w:rPr>
          <w:rFonts w:cs="Times New Roman"/>
          <w:szCs w:val="24"/>
        </w:rPr>
      </w:pPr>
      <w:r w:rsidRPr="00067F89">
        <w:rPr>
          <w:rFonts w:eastAsia="Calibri" w:cs="Times New Roman"/>
          <w:szCs w:val="24"/>
        </w:rPr>
        <w:t>Interpretivism, which privileges subjective meaning and contextual understanding, is equally inapposite</w:t>
      </w:r>
      <w:r w:rsidRPr="00067F89">
        <w:rPr>
          <w:rFonts w:cs="Times New Roman"/>
          <w:szCs w:val="24"/>
        </w:rPr>
        <w:t>. Although qualitative inquiry may clarify the perceptions of bank executives about the strategic importance of ESG, it does not allow testing hypothesized quantitative relationships between ESG and Tobin Q in a panel of banks - the primary empirical aim of this research.</w:t>
      </w:r>
    </w:p>
    <w:p w14:paraId="525D6220" w14:textId="47A948DA" w:rsidR="005B5FCE" w:rsidRPr="00067F89" w:rsidRDefault="005B5FCE" w:rsidP="00067F89">
      <w:pPr>
        <w:spacing w:line="360" w:lineRule="auto"/>
        <w:jc w:val="both"/>
        <w:rPr>
          <w:rFonts w:cs="Times New Roman"/>
          <w:szCs w:val="24"/>
        </w:rPr>
      </w:pPr>
      <w:r w:rsidRPr="00067F89">
        <w:rPr>
          <w:rFonts w:eastAsia="Calibri" w:cs="Times New Roman"/>
          <w:szCs w:val="24"/>
        </w:rPr>
        <w:t>This study therefore adopts a post-positivist philosophy</w:t>
      </w:r>
      <w:r w:rsidRPr="00067F89">
        <w:rPr>
          <w:rFonts w:cs="Times New Roman"/>
          <w:szCs w:val="24"/>
        </w:rPr>
        <w:t>, which acknowledges the existence of an objective social reality but that measurement is not perfect and theory-laden (Guba and Lincoln, 1994). Post-positivism affirms the deductive reasoning behind this study: the theoretical hypotheses based on RBV and Stakeholder Theory are operationalised as hypothesis (testable) and tested on panel data. Creswell and Creswell (2018) affirm that the standard epistemological basis of the quantitative social science research of this kind is post-positivism. The main weakness of this positioning is that it does not reflect the underlying qualitative rationale of ESG investment decisions; a mixed-methods extension would be a fruitful way forward in the future.</w:t>
      </w:r>
    </w:p>
    <w:p w14:paraId="4CB1075F"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3. Sampling Strategy</w:t>
      </w:r>
    </w:p>
    <w:p w14:paraId="3E74AD1D"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The population of interest includes all commercial banks that are listed in the ADX and DFM. By 2024, there are around 20 commercial banks that are publicly traded on these exchanges; some are also dual or cross-listed. With such a small, well-documented population, a census method, using all eligible banks is sought instead of a probability sample. Hair et al. (2019) indicate that, in cases </w:t>
      </w:r>
      <w:r w:rsidRPr="00067F89">
        <w:rPr>
          <w:rFonts w:cs="Times New Roman"/>
          <w:szCs w:val="24"/>
        </w:rPr>
        <w:lastRenderedPageBreak/>
        <w:t>where the target population is small and can be reached in full, a census is preferable to sampling due to its methodological superiority of removing the sampling error completely.</w:t>
      </w:r>
    </w:p>
    <w:p w14:paraId="3FDB9F5F" w14:textId="77777777" w:rsidR="005B5FCE" w:rsidRPr="00067F89" w:rsidRDefault="005B5FCE" w:rsidP="00067F89">
      <w:pPr>
        <w:spacing w:line="360" w:lineRule="auto"/>
        <w:jc w:val="both"/>
        <w:rPr>
          <w:rFonts w:cs="Times New Roman"/>
          <w:szCs w:val="24"/>
        </w:rPr>
      </w:pPr>
      <w:r w:rsidRPr="00067F89">
        <w:rPr>
          <w:rFonts w:cs="Times New Roman"/>
          <w:b/>
          <w:bCs/>
          <w:szCs w:val="24"/>
        </w:rPr>
        <w:t>Inclusion criteria</w:t>
      </w:r>
      <w:r w:rsidRPr="00067F89">
        <w:rPr>
          <w:rFonts w:cs="Times New Roman"/>
          <w:szCs w:val="24"/>
        </w:rPr>
        <w:t xml:space="preserve"> include: (1) registered as a commercial bank under the regulation of the UAE Central Bank; (2) listed on ADX or DFM the entire duration of the study (20182023); (3) four years of ESG scores on Refinitiv Eikon; and (4) annual financial statements in English. These criteria will provide a final sample size of 14-17 banks with a panel dataset of about 84-102 bank-year observations.</w:t>
      </w:r>
    </w:p>
    <w:p w14:paraId="635B541B" w14:textId="63372A01" w:rsidR="005B5FCE" w:rsidRPr="00067F89" w:rsidRDefault="005B5FCE" w:rsidP="00067F89">
      <w:pPr>
        <w:spacing w:line="360" w:lineRule="auto"/>
        <w:jc w:val="both"/>
        <w:rPr>
          <w:rFonts w:cs="Times New Roman"/>
          <w:szCs w:val="24"/>
        </w:rPr>
      </w:pPr>
      <w:r w:rsidRPr="00067F89">
        <w:rPr>
          <w:rFonts w:eastAsia="Calibri" w:cs="Times New Roman"/>
          <w:b/>
          <w:bCs/>
          <w:szCs w:val="24"/>
        </w:rPr>
        <w:t>Purposive sampling</w:t>
      </w:r>
      <w:r w:rsidRPr="00067F89">
        <w:rPr>
          <w:rFonts w:eastAsia="Calibri" w:cs="Times New Roman"/>
          <w:szCs w:val="24"/>
        </w:rPr>
        <w:t xml:space="preserve"> </w:t>
      </w:r>
      <w:r w:rsidRPr="00067F89">
        <w:rPr>
          <w:rFonts w:eastAsia="Calibri" w:cs="Times New Roman"/>
          <w:szCs w:val="24"/>
        </w:rPr>
        <w:t>-</w:t>
      </w:r>
      <w:r w:rsidRPr="00067F89">
        <w:rPr>
          <w:rFonts w:eastAsia="Calibri" w:cs="Times New Roman"/>
          <w:szCs w:val="24"/>
        </w:rPr>
        <w:t xml:space="preserve"> selecting banks on the basis of theoretical or informational relevance — was considered, as it is employed in qualitative and exploratory financial research </w:t>
      </w:r>
      <w:r w:rsidRPr="00067F89">
        <w:rPr>
          <w:rFonts w:cs="Times New Roman"/>
          <w:szCs w:val="24"/>
        </w:rPr>
        <w:t>(Saunders, Lewis and Thornhill, 2019). Nevertheless, in the case where the population size and homogeneity are sufficiently small, purposive selection of eligible firms would create selection bias with no analytic benefit. The same reasons rejected convenience sampling that would limit the sample to banks where data were readily available. The census method with its clear inclusion criteria hence offers the most justifiable foundation of making generalisation to the UAE enumerated commercial banking industry.</w:t>
      </w:r>
    </w:p>
    <w:p w14:paraId="0FCBC24A" w14:textId="77777777" w:rsidR="005B5FCE" w:rsidRPr="00067F89" w:rsidRDefault="005B5FCE" w:rsidP="00067F89">
      <w:pPr>
        <w:spacing w:line="360" w:lineRule="auto"/>
        <w:jc w:val="both"/>
        <w:rPr>
          <w:rFonts w:cs="Times New Roman"/>
          <w:szCs w:val="24"/>
        </w:rPr>
      </w:pPr>
      <w:r w:rsidRPr="00067F89">
        <w:rPr>
          <w:rFonts w:cs="Times New Roman"/>
          <w:szCs w:val="24"/>
        </w:rPr>
        <w:t>One weakness is that the sample size, although representing the whole population available, is small in absolute terms. This limits the number of degrees of freedom of complex multivariate models and requires parsimony of variable selection, which is explicitly dealt with in the data analysis section.</w:t>
      </w:r>
    </w:p>
    <w:p w14:paraId="0CCB1C4A"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4. Data Collection Methods</w:t>
      </w:r>
    </w:p>
    <w:p w14:paraId="6708F442" w14:textId="302FC0AE" w:rsidR="005B5FCE" w:rsidRPr="00067F89" w:rsidRDefault="005B5FCE" w:rsidP="00067F89">
      <w:pPr>
        <w:spacing w:line="360" w:lineRule="auto"/>
        <w:jc w:val="both"/>
        <w:rPr>
          <w:rFonts w:cs="Times New Roman"/>
          <w:szCs w:val="24"/>
        </w:rPr>
      </w:pPr>
      <w:r w:rsidRPr="00067F89">
        <w:rPr>
          <w:rFonts w:cs="Times New Roman"/>
          <w:szCs w:val="24"/>
        </w:rPr>
        <w:t xml:space="preserve">Given thata </w:t>
      </w:r>
      <w:r w:rsidRPr="00067F89">
        <w:rPr>
          <w:rFonts w:cs="Times New Roman"/>
          <w:szCs w:val="24"/>
        </w:rPr>
        <w:t>the study is quantitative and post-positivistic in nature, the suitable source of data is the secondary panel data. It would also be impractical (access to senior bank executives would be restricted) and theoretically unnecessary to construct primary survey or interview data as audited financial statements and professionally compiled ESG scores represent the most valid operationalisations of the constructs of interest (Buallay et al., 2020).</w:t>
      </w:r>
    </w:p>
    <w:p w14:paraId="64B0522B"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The two sources of data are used. Financial performance data (Tobin Q, ROA, leverage, bank size, market capitalisation) will be obtained on Bloomberg Terminal and compared to the audited annual reports published on the ADX/DFM investor relations portals. The sourcing of ESG scores will be done through Refinitiv Eikon that offers disaggregated E, S and G pillar scores and a composite </w:t>
      </w:r>
      <w:r w:rsidRPr="00067F89">
        <w:rPr>
          <w:rFonts w:cs="Times New Roman"/>
          <w:szCs w:val="24"/>
        </w:rPr>
        <w:lastRenderedPageBreak/>
        <w:t>ESG score in a transparent and rule-based approach that has gained popularity among GCC financial research (El Khoury, Nasrallah and Alareeni, 2021; Abdullah et al., 2025). The timeframe of the study is 2018 -2023, which is a timeframe that falls within the pre- and post-UAE Net Zero by 2050 strategic initiative (announced 2021) to analyse the structural changes in the dynamics between ESG and value subsequent to this policy intervention.</w:t>
      </w:r>
    </w:p>
    <w:p w14:paraId="5B4D25B8" w14:textId="77777777" w:rsidR="005B5FCE" w:rsidRPr="00067F89" w:rsidRDefault="005B5FCE" w:rsidP="00067F89">
      <w:pPr>
        <w:spacing w:line="360" w:lineRule="auto"/>
        <w:jc w:val="both"/>
        <w:rPr>
          <w:rFonts w:cs="Times New Roman"/>
          <w:szCs w:val="24"/>
        </w:rPr>
      </w:pPr>
    </w:p>
    <w:p w14:paraId="39ACE57A" w14:textId="77777777" w:rsidR="005B5FCE" w:rsidRPr="00067F89" w:rsidRDefault="005B5FCE" w:rsidP="00067F89">
      <w:pPr>
        <w:spacing w:line="360" w:lineRule="auto"/>
        <w:jc w:val="both"/>
        <w:rPr>
          <w:rFonts w:cs="Times New Roman"/>
          <w:szCs w:val="24"/>
        </w:rPr>
      </w:pPr>
      <w:r w:rsidRPr="00067F89">
        <w:rPr>
          <w:rFonts w:cs="Times New Roman"/>
          <w:szCs w:val="24"/>
        </w:rPr>
        <w:t>Table 2 is a critical appraisal of the secondary data sources.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80"/>
        <w:gridCol w:w="3680"/>
      </w:tblGrid>
      <w:tr w:rsidR="00D22EDE" w:rsidRPr="00067F89" w14:paraId="0C022709" w14:textId="77777777" w:rsidTr="00067F89">
        <w:tblPrEx>
          <w:tblCellMar>
            <w:top w:w="0" w:type="dxa"/>
            <w:bottom w:w="0" w:type="dxa"/>
          </w:tblCellMar>
        </w:tblPrEx>
        <w:trPr>
          <w:tblHeader/>
        </w:trPr>
        <w:tc>
          <w:tcPr>
            <w:tcW w:w="1900" w:type="dxa"/>
            <w:shd w:val="clear" w:color="auto" w:fill="1B3A5C"/>
            <w:tcMar>
              <w:top w:w="95" w:type="dxa"/>
              <w:left w:w="140" w:type="dxa"/>
              <w:bottom w:w="95" w:type="dxa"/>
              <w:right w:w="140" w:type="dxa"/>
            </w:tcMar>
            <w:vAlign w:val="center"/>
          </w:tcPr>
          <w:p w14:paraId="2C1ED238"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Criterion</w:t>
            </w:r>
          </w:p>
        </w:tc>
        <w:tc>
          <w:tcPr>
            <w:tcW w:w="3680" w:type="dxa"/>
            <w:shd w:val="clear" w:color="auto" w:fill="1B3A5C"/>
            <w:tcMar>
              <w:top w:w="95" w:type="dxa"/>
              <w:left w:w="140" w:type="dxa"/>
              <w:bottom w:w="95" w:type="dxa"/>
              <w:right w:w="140" w:type="dxa"/>
            </w:tcMar>
            <w:vAlign w:val="center"/>
          </w:tcPr>
          <w:p w14:paraId="35737214"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Refinitiv Eikon (ESG Data)</w:t>
            </w:r>
          </w:p>
        </w:tc>
        <w:tc>
          <w:tcPr>
            <w:tcW w:w="3680" w:type="dxa"/>
            <w:shd w:val="clear" w:color="auto" w:fill="1B3A5C"/>
            <w:tcMar>
              <w:top w:w="95" w:type="dxa"/>
              <w:left w:w="140" w:type="dxa"/>
              <w:bottom w:w="95" w:type="dxa"/>
              <w:right w:w="140" w:type="dxa"/>
            </w:tcMar>
            <w:vAlign w:val="center"/>
          </w:tcPr>
          <w:p w14:paraId="28EC4AE6"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Bloomberg Terminal (Financial Data)</w:t>
            </w:r>
          </w:p>
        </w:tc>
      </w:tr>
      <w:tr w:rsidR="00D22EDE" w:rsidRPr="00067F89" w14:paraId="22431746" w14:textId="77777777" w:rsidTr="00067F89">
        <w:tblPrEx>
          <w:tblCellMar>
            <w:top w:w="0" w:type="dxa"/>
            <w:bottom w:w="0" w:type="dxa"/>
          </w:tblCellMar>
        </w:tblPrEx>
        <w:tc>
          <w:tcPr>
            <w:tcW w:w="1900" w:type="dxa"/>
            <w:shd w:val="clear" w:color="auto" w:fill="E8F4F4"/>
            <w:tcMar>
              <w:top w:w="85" w:type="dxa"/>
              <w:left w:w="140" w:type="dxa"/>
              <w:bottom w:w="85" w:type="dxa"/>
              <w:right w:w="140" w:type="dxa"/>
            </w:tcMar>
          </w:tcPr>
          <w:p w14:paraId="49A030B4"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Coverage</w:t>
            </w:r>
          </w:p>
        </w:tc>
        <w:tc>
          <w:tcPr>
            <w:tcW w:w="3680" w:type="dxa"/>
            <w:shd w:val="clear" w:color="auto" w:fill="E8F4F4"/>
            <w:tcMar>
              <w:top w:w="85" w:type="dxa"/>
              <w:left w:w="140" w:type="dxa"/>
              <w:bottom w:w="85" w:type="dxa"/>
              <w:right w:w="140" w:type="dxa"/>
            </w:tcMar>
          </w:tcPr>
          <w:p w14:paraId="21793838"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ESG pillar scores for UAE-listed banks from 2018; annual updates</w:t>
            </w:r>
          </w:p>
        </w:tc>
        <w:tc>
          <w:tcPr>
            <w:tcW w:w="3680" w:type="dxa"/>
            <w:shd w:val="clear" w:color="auto" w:fill="E8F4F4"/>
            <w:tcMar>
              <w:top w:w="85" w:type="dxa"/>
              <w:left w:w="140" w:type="dxa"/>
              <w:bottom w:w="85" w:type="dxa"/>
              <w:right w:w="140" w:type="dxa"/>
            </w:tcMar>
          </w:tcPr>
          <w:p w14:paraId="426E731E"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Full financial history; balance sheet, income statement, market data</w:t>
            </w:r>
          </w:p>
        </w:tc>
      </w:tr>
      <w:tr w:rsidR="00D22EDE" w:rsidRPr="00067F89" w14:paraId="3C07494E" w14:textId="77777777" w:rsidTr="00067F89">
        <w:tblPrEx>
          <w:tblCellMar>
            <w:top w:w="0" w:type="dxa"/>
            <w:bottom w:w="0" w:type="dxa"/>
          </w:tblCellMar>
        </w:tblPrEx>
        <w:tc>
          <w:tcPr>
            <w:tcW w:w="1900" w:type="dxa"/>
            <w:shd w:val="clear" w:color="auto" w:fill="FFFFFF"/>
            <w:tcMar>
              <w:top w:w="85" w:type="dxa"/>
              <w:left w:w="140" w:type="dxa"/>
              <w:bottom w:w="85" w:type="dxa"/>
              <w:right w:w="140" w:type="dxa"/>
            </w:tcMar>
          </w:tcPr>
          <w:p w14:paraId="02E095F3"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Strengths</w:t>
            </w:r>
          </w:p>
        </w:tc>
        <w:tc>
          <w:tcPr>
            <w:tcW w:w="3680" w:type="dxa"/>
            <w:shd w:val="clear" w:color="auto" w:fill="FFFFFF"/>
            <w:tcMar>
              <w:top w:w="85" w:type="dxa"/>
              <w:left w:w="140" w:type="dxa"/>
              <w:bottom w:w="85" w:type="dxa"/>
              <w:right w:w="140" w:type="dxa"/>
            </w:tcMar>
          </w:tcPr>
          <w:p w14:paraId="7CE5439F"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Transparent, rule-based methodology; widely validated in GCC literature (El Khoury et al., 2021); allows pillar-level disaggregation</w:t>
            </w:r>
          </w:p>
        </w:tc>
        <w:tc>
          <w:tcPr>
            <w:tcW w:w="3680" w:type="dxa"/>
            <w:shd w:val="clear" w:color="auto" w:fill="FFFFFF"/>
            <w:tcMar>
              <w:top w:w="85" w:type="dxa"/>
              <w:left w:w="140" w:type="dxa"/>
              <w:bottom w:w="85" w:type="dxa"/>
              <w:right w:w="140" w:type="dxa"/>
            </w:tcMar>
          </w:tcPr>
          <w:p w14:paraId="02601B63"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Audited source; internationally standardised; consistent across banks</w:t>
            </w:r>
          </w:p>
        </w:tc>
      </w:tr>
      <w:tr w:rsidR="00D22EDE" w:rsidRPr="00067F89" w14:paraId="7915C596" w14:textId="77777777" w:rsidTr="00067F89">
        <w:tblPrEx>
          <w:tblCellMar>
            <w:top w:w="0" w:type="dxa"/>
            <w:bottom w:w="0" w:type="dxa"/>
          </w:tblCellMar>
        </w:tblPrEx>
        <w:tc>
          <w:tcPr>
            <w:tcW w:w="1900" w:type="dxa"/>
            <w:shd w:val="clear" w:color="auto" w:fill="E8F4F4"/>
            <w:tcMar>
              <w:top w:w="85" w:type="dxa"/>
              <w:left w:w="140" w:type="dxa"/>
              <w:bottom w:w="85" w:type="dxa"/>
              <w:right w:w="140" w:type="dxa"/>
            </w:tcMar>
          </w:tcPr>
          <w:p w14:paraId="7E9412D8"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Weaknesses</w:t>
            </w:r>
          </w:p>
        </w:tc>
        <w:tc>
          <w:tcPr>
            <w:tcW w:w="3680" w:type="dxa"/>
            <w:shd w:val="clear" w:color="auto" w:fill="E8F4F4"/>
            <w:tcMar>
              <w:top w:w="85" w:type="dxa"/>
              <w:left w:w="140" w:type="dxa"/>
              <w:bottom w:w="85" w:type="dxa"/>
              <w:right w:w="140" w:type="dxa"/>
            </w:tcMar>
          </w:tcPr>
          <w:p w14:paraId="11A3F3B0"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ESG scores can diverge from other providers (Berg et al., 2022); smaller banks may have incomplete coverage in early years</w:t>
            </w:r>
          </w:p>
        </w:tc>
        <w:tc>
          <w:tcPr>
            <w:tcW w:w="3680" w:type="dxa"/>
            <w:shd w:val="clear" w:color="auto" w:fill="E8F4F4"/>
            <w:tcMar>
              <w:top w:w="85" w:type="dxa"/>
              <w:left w:w="140" w:type="dxa"/>
              <w:bottom w:w="85" w:type="dxa"/>
              <w:right w:w="140" w:type="dxa"/>
            </w:tcMar>
          </w:tcPr>
          <w:p w14:paraId="59C86D4B"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Institutional access required; minor cross-bank accounting policy differences</w:t>
            </w:r>
          </w:p>
        </w:tc>
      </w:tr>
      <w:tr w:rsidR="00D22EDE" w:rsidRPr="00067F89" w14:paraId="2F39C774" w14:textId="77777777" w:rsidTr="00067F89">
        <w:tblPrEx>
          <w:tblCellMar>
            <w:top w:w="0" w:type="dxa"/>
            <w:bottom w:w="0" w:type="dxa"/>
          </w:tblCellMar>
        </w:tblPrEx>
        <w:tc>
          <w:tcPr>
            <w:tcW w:w="1900" w:type="dxa"/>
            <w:shd w:val="clear" w:color="auto" w:fill="FFFFFF"/>
            <w:tcMar>
              <w:top w:w="85" w:type="dxa"/>
              <w:left w:w="140" w:type="dxa"/>
              <w:bottom w:w="85" w:type="dxa"/>
              <w:right w:w="140" w:type="dxa"/>
            </w:tcMar>
          </w:tcPr>
          <w:p w14:paraId="534A088C"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Mitigation</w:t>
            </w:r>
          </w:p>
        </w:tc>
        <w:tc>
          <w:tcPr>
            <w:tcW w:w="3680" w:type="dxa"/>
            <w:shd w:val="clear" w:color="auto" w:fill="FFFFFF"/>
            <w:tcMar>
              <w:top w:w="85" w:type="dxa"/>
              <w:left w:w="140" w:type="dxa"/>
              <w:bottom w:w="85" w:type="dxa"/>
              <w:right w:w="140" w:type="dxa"/>
            </w:tcMar>
          </w:tcPr>
          <w:p w14:paraId="5A36C2D7"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Missing ESG years imputed only where ≤ 1 consecutive year absent; sensitivity test with MSCI scores conducted</w:t>
            </w:r>
          </w:p>
        </w:tc>
        <w:tc>
          <w:tcPr>
            <w:tcW w:w="3680" w:type="dxa"/>
            <w:shd w:val="clear" w:color="auto" w:fill="FFFFFF"/>
            <w:tcMar>
              <w:top w:w="85" w:type="dxa"/>
              <w:left w:w="140" w:type="dxa"/>
              <w:bottom w:w="85" w:type="dxa"/>
              <w:right w:w="140" w:type="dxa"/>
            </w:tcMar>
          </w:tcPr>
          <w:p w14:paraId="01DDA619"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Cross-validate with published annual reports; standardise ratios using IFRS definitions</w:t>
            </w:r>
          </w:p>
        </w:tc>
      </w:tr>
    </w:tbl>
    <w:p w14:paraId="38EC46CC" w14:textId="77777777" w:rsidR="005B5FCE" w:rsidRPr="00067F89" w:rsidRDefault="005B5FCE" w:rsidP="00067F89">
      <w:pPr>
        <w:spacing w:line="360" w:lineRule="auto"/>
        <w:jc w:val="both"/>
        <w:rPr>
          <w:rFonts w:cs="Times New Roman"/>
          <w:szCs w:val="24"/>
        </w:rPr>
      </w:pPr>
    </w:p>
    <w:p w14:paraId="6A5E31F1"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The most significant shortcoming of Refinitiv ESG data (as with all provider ratings) is the reported inconsistency across rating agencies. As shown by Berg, Koelbel and Rigobon (2022), inter-rater correlations of major ESG providers are relatively low, at 0.54 on average, a significantly lower value than credit rating agreement. This presents the risk of construct validity: the Refinitiv composite score might not adequately reflect the ESG practices that are strategic to </w:t>
      </w:r>
      <w:r w:rsidRPr="00067F89">
        <w:rPr>
          <w:rFonts w:cs="Times New Roman"/>
          <w:szCs w:val="24"/>
        </w:rPr>
        <w:lastRenderedPageBreak/>
        <w:t>UAE banks. The limitation is overcome by pillar level disaggregation (testing E, S, and G individually) and a robustness check replacing Bloomberg ESG scores where they exist.</w:t>
      </w:r>
    </w:p>
    <w:p w14:paraId="622BEE66"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4.1 Variables and Operationalisation</w:t>
      </w:r>
    </w:p>
    <w:tbl>
      <w:tblPr>
        <w:tblW w:w="72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917"/>
        <w:gridCol w:w="1467"/>
        <w:gridCol w:w="3850"/>
      </w:tblGrid>
      <w:tr w:rsidR="00067F89" w:rsidRPr="00067F89" w14:paraId="789963E6" w14:textId="77777777" w:rsidTr="00067F89">
        <w:tblPrEx>
          <w:tblCellMar>
            <w:top w:w="0" w:type="dxa"/>
            <w:bottom w:w="0" w:type="dxa"/>
          </w:tblCellMar>
        </w:tblPrEx>
        <w:trPr>
          <w:tblHeader/>
        </w:trPr>
        <w:tc>
          <w:tcPr>
            <w:tcW w:w="1917" w:type="dxa"/>
            <w:shd w:val="clear" w:color="auto" w:fill="1B3A5C"/>
            <w:tcMar>
              <w:top w:w="95" w:type="dxa"/>
              <w:left w:w="140" w:type="dxa"/>
              <w:bottom w:w="95" w:type="dxa"/>
              <w:right w:w="140" w:type="dxa"/>
            </w:tcMar>
            <w:vAlign w:val="center"/>
          </w:tcPr>
          <w:p w14:paraId="5BB29BA3" w14:textId="77777777" w:rsidR="00067F89" w:rsidRPr="00067F89" w:rsidRDefault="00067F89" w:rsidP="00067F89">
            <w:pPr>
              <w:spacing w:line="240" w:lineRule="auto"/>
              <w:jc w:val="both"/>
              <w:rPr>
                <w:rFonts w:cs="Times New Roman"/>
                <w:szCs w:val="24"/>
              </w:rPr>
            </w:pPr>
            <w:r w:rsidRPr="00067F89">
              <w:rPr>
                <w:rFonts w:eastAsia="Calibri" w:cs="Times New Roman"/>
                <w:b/>
                <w:bCs/>
                <w:szCs w:val="24"/>
              </w:rPr>
              <w:t>Variable</w:t>
            </w:r>
          </w:p>
        </w:tc>
        <w:tc>
          <w:tcPr>
            <w:tcW w:w="1467" w:type="dxa"/>
            <w:shd w:val="clear" w:color="auto" w:fill="1B3A5C"/>
            <w:tcMar>
              <w:top w:w="95" w:type="dxa"/>
              <w:left w:w="140" w:type="dxa"/>
              <w:bottom w:w="95" w:type="dxa"/>
              <w:right w:w="140" w:type="dxa"/>
            </w:tcMar>
            <w:vAlign w:val="center"/>
          </w:tcPr>
          <w:p w14:paraId="6E099FB8" w14:textId="77777777" w:rsidR="00067F89" w:rsidRPr="00067F89" w:rsidRDefault="00067F89" w:rsidP="00067F89">
            <w:pPr>
              <w:spacing w:line="240" w:lineRule="auto"/>
              <w:jc w:val="both"/>
              <w:rPr>
                <w:rFonts w:cs="Times New Roman"/>
                <w:szCs w:val="24"/>
              </w:rPr>
            </w:pPr>
            <w:r w:rsidRPr="00067F89">
              <w:rPr>
                <w:rFonts w:eastAsia="Calibri" w:cs="Times New Roman"/>
                <w:b/>
                <w:bCs/>
                <w:szCs w:val="24"/>
              </w:rPr>
              <w:t>Type</w:t>
            </w:r>
          </w:p>
        </w:tc>
        <w:tc>
          <w:tcPr>
            <w:tcW w:w="3850" w:type="dxa"/>
            <w:shd w:val="clear" w:color="auto" w:fill="1B3A5C"/>
            <w:tcMar>
              <w:top w:w="95" w:type="dxa"/>
              <w:left w:w="140" w:type="dxa"/>
              <w:bottom w:w="95" w:type="dxa"/>
              <w:right w:w="140" w:type="dxa"/>
            </w:tcMar>
            <w:vAlign w:val="center"/>
          </w:tcPr>
          <w:p w14:paraId="02413814" w14:textId="77777777" w:rsidR="00067F89" w:rsidRPr="00067F89" w:rsidRDefault="00067F89" w:rsidP="00067F89">
            <w:pPr>
              <w:spacing w:line="240" w:lineRule="auto"/>
              <w:jc w:val="both"/>
              <w:rPr>
                <w:rFonts w:cs="Times New Roman"/>
                <w:szCs w:val="24"/>
              </w:rPr>
            </w:pPr>
            <w:r w:rsidRPr="00067F89">
              <w:rPr>
                <w:rFonts w:eastAsia="Calibri" w:cs="Times New Roman"/>
                <w:b/>
                <w:bCs/>
                <w:szCs w:val="24"/>
              </w:rPr>
              <w:t>Operationalisation</w:t>
            </w:r>
          </w:p>
        </w:tc>
      </w:tr>
      <w:tr w:rsidR="00067F89" w:rsidRPr="00067F89" w14:paraId="4A52C596" w14:textId="77777777" w:rsidTr="00067F89">
        <w:tblPrEx>
          <w:tblCellMar>
            <w:top w:w="0" w:type="dxa"/>
            <w:bottom w:w="0" w:type="dxa"/>
          </w:tblCellMar>
        </w:tblPrEx>
        <w:tc>
          <w:tcPr>
            <w:tcW w:w="1917" w:type="dxa"/>
            <w:shd w:val="clear" w:color="auto" w:fill="E8F4F4"/>
            <w:tcMar>
              <w:top w:w="85" w:type="dxa"/>
              <w:left w:w="140" w:type="dxa"/>
              <w:bottom w:w="85" w:type="dxa"/>
              <w:right w:w="140" w:type="dxa"/>
            </w:tcMar>
          </w:tcPr>
          <w:p w14:paraId="2F9A799F"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ESG composite score</w:t>
            </w:r>
          </w:p>
        </w:tc>
        <w:tc>
          <w:tcPr>
            <w:tcW w:w="1467" w:type="dxa"/>
            <w:shd w:val="clear" w:color="auto" w:fill="E8F4F4"/>
            <w:tcMar>
              <w:top w:w="85" w:type="dxa"/>
              <w:left w:w="140" w:type="dxa"/>
              <w:bottom w:w="85" w:type="dxa"/>
              <w:right w:w="140" w:type="dxa"/>
            </w:tcMar>
          </w:tcPr>
          <w:p w14:paraId="5438A765"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Independent</w:t>
            </w:r>
          </w:p>
        </w:tc>
        <w:tc>
          <w:tcPr>
            <w:tcW w:w="3850" w:type="dxa"/>
            <w:shd w:val="clear" w:color="auto" w:fill="E8F4F4"/>
            <w:tcMar>
              <w:top w:w="85" w:type="dxa"/>
              <w:left w:w="140" w:type="dxa"/>
              <w:bottom w:w="85" w:type="dxa"/>
              <w:right w:w="140" w:type="dxa"/>
            </w:tcMar>
          </w:tcPr>
          <w:p w14:paraId="1C7AB758"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Refinitiv ESG score (0–100)</w:t>
            </w:r>
          </w:p>
        </w:tc>
      </w:tr>
      <w:tr w:rsidR="00067F89" w:rsidRPr="00067F89" w14:paraId="739E6A56" w14:textId="77777777" w:rsidTr="00067F89">
        <w:tblPrEx>
          <w:tblCellMar>
            <w:top w:w="0" w:type="dxa"/>
            <w:bottom w:w="0" w:type="dxa"/>
          </w:tblCellMar>
        </w:tblPrEx>
        <w:tc>
          <w:tcPr>
            <w:tcW w:w="1917" w:type="dxa"/>
            <w:shd w:val="clear" w:color="auto" w:fill="FFFFFF"/>
            <w:tcMar>
              <w:top w:w="85" w:type="dxa"/>
              <w:left w:w="140" w:type="dxa"/>
              <w:bottom w:w="85" w:type="dxa"/>
              <w:right w:w="140" w:type="dxa"/>
            </w:tcMar>
          </w:tcPr>
          <w:p w14:paraId="6472DC0A"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E, S, G pillar scores</w:t>
            </w:r>
          </w:p>
        </w:tc>
        <w:tc>
          <w:tcPr>
            <w:tcW w:w="1467" w:type="dxa"/>
            <w:shd w:val="clear" w:color="auto" w:fill="FFFFFF"/>
            <w:tcMar>
              <w:top w:w="85" w:type="dxa"/>
              <w:left w:w="140" w:type="dxa"/>
              <w:bottom w:w="85" w:type="dxa"/>
              <w:right w:w="140" w:type="dxa"/>
            </w:tcMar>
          </w:tcPr>
          <w:p w14:paraId="25704F97"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Independent</w:t>
            </w:r>
          </w:p>
        </w:tc>
        <w:tc>
          <w:tcPr>
            <w:tcW w:w="3850" w:type="dxa"/>
            <w:shd w:val="clear" w:color="auto" w:fill="FFFFFF"/>
            <w:tcMar>
              <w:top w:w="85" w:type="dxa"/>
              <w:left w:w="140" w:type="dxa"/>
              <w:bottom w:w="85" w:type="dxa"/>
              <w:right w:w="140" w:type="dxa"/>
            </w:tcMar>
          </w:tcPr>
          <w:p w14:paraId="60AA132B"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Disaggregated pillar scores (0–100)</w:t>
            </w:r>
          </w:p>
        </w:tc>
      </w:tr>
      <w:tr w:rsidR="00067F89" w:rsidRPr="00067F89" w14:paraId="653FE3CC" w14:textId="77777777" w:rsidTr="00067F89">
        <w:tblPrEx>
          <w:tblCellMar>
            <w:top w:w="0" w:type="dxa"/>
            <w:bottom w:w="0" w:type="dxa"/>
          </w:tblCellMar>
        </w:tblPrEx>
        <w:tc>
          <w:tcPr>
            <w:tcW w:w="1917" w:type="dxa"/>
            <w:shd w:val="clear" w:color="auto" w:fill="E8F4F4"/>
            <w:tcMar>
              <w:top w:w="85" w:type="dxa"/>
              <w:left w:w="140" w:type="dxa"/>
              <w:bottom w:w="85" w:type="dxa"/>
              <w:right w:w="140" w:type="dxa"/>
            </w:tcMar>
          </w:tcPr>
          <w:p w14:paraId="1F624860"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Tobin's Q</w:t>
            </w:r>
          </w:p>
        </w:tc>
        <w:tc>
          <w:tcPr>
            <w:tcW w:w="1467" w:type="dxa"/>
            <w:shd w:val="clear" w:color="auto" w:fill="E8F4F4"/>
            <w:tcMar>
              <w:top w:w="85" w:type="dxa"/>
              <w:left w:w="140" w:type="dxa"/>
              <w:bottom w:w="85" w:type="dxa"/>
              <w:right w:w="140" w:type="dxa"/>
            </w:tcMar>
          </w:tcPr>
          <w:p w14:paraId="187F4A58"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Dependent</w:t>
            </w:r>
          </w:p>
        </w:tc>
        <w:tc>
          <w:tcPr>
            <w:tcW w:w="3850" w:type="dxa"/>
            <w:shd w:val="clear" w:color="auto" w:fill="E8F4F4"/>
            <w:tcMar>
              <w:top w:w="85" w:type="dxa"/>
              <w:left w:w="140" w:type="dxa"/>
              <w:bottom w:w="85" w:type="dxa"/>
              <w:right w:w="140" w:type="dxa"/>
            </w:tcMar>
          </w:tcPr>
          <w:p w14:paraId="6653BFAC"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(Market cap + book debt) / total assets</w:t>
            </w:r>
          </w:p>
        </w:tc>
      </w:tr>
      <w:tr w:rsidR="00067F89" w:rsidRPr="00067F89" w14:paraId="00096AA1" w14:textId="77777777" w:rsidTr="00067F89">
        <w:tblPrEx>
          <w:tblCellMar>
            <w:top w:w="0" w:type="dxa"/>
            <w:bottom w:w="0" w:type="dxa"/>
          </w:tblCellMar>
        </w:tblPrEx>
        <w:tc>
          <w:tcPr>
            <w:tcW w:w="1917" w:type="dxa"/>
            <w:shd w:val="clear" w:color="auto" w:fill="FFFFFF"/>
            <w:tcMar>
              <w:top w:w="85" w:type="dxa"/>
              <w:left w:w="140" w:type="dxa"/>
              <w:bottom w:w="85" w:type="dxa"/>
              <w:right w:w="140" w:type="dxa"/>
            </w:tcMar>
          </w:tcPr>
          <w:p w14:paraId="5F130736"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Return on Assets (ROA)</w:t>
            </w:r>
          </w:p>
        </w:tc>
        <w:tc>
          <w:tcPr>
            <w:tcW w:w="1467" w:type="dxa"/>
            <w:shd w:val="clear" w:color="auto" w:fill="FFFFFF"/>
            <w:tcMar>
              <w:top w:w="85" w:type="dxa"/>
              <w:left w:w="140" w:type="dxa"/>
              <w:bottom w:w="85" w:type="dxa"/>
              <w:right w:w="140" w:type="dxa"/>
            </w:tcMar>
          </w:tcPr>
          <w:p w14:paraId="7808975A"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Dependent</w:t>
            </w:r>
          </w:p>
        </w:tc>
        <w:tc>
          <w:tcPr>
            <w:tcW w:w="3850" w:type="dxa"/>
            <w:shd w:val="clear" w:color="auto" w:fill="FFFFFF"/>
            <w:tcMar>
              <w:top w:w="85" w:type="dxa"/>
              <w:left w:w="140" w:type="dxa"/>
              <w:bottom w:w="85" w:type="dxa"/>
              <w:right w:w="140" w:type="dxa"/>
            </w:tcMar>
          </w:tcPr>
          <w:p w14:paraId="7CA357BF"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Net income / total assets</w:t>
            </w:r>
          </w:p>
        </w:tc>
      </w:tr>
      <w:tr w:rsidR="00067F89" w:rsidRPr="00067F89" w14:paraId="737510F6" w14:textId="77777777" w:rsidTr="00067F89">
        <w:tblPrEx>
          <w:tblCellMar>
            <w:top w:w="0" w:type="dxa"/>
            <w:bottom w:w="0" w:type="dxa"/>
          </w:tblCellMar>
        </w:tblPrEx>
        <w:tc>
          <w:tcPr>
            <w:tcW w:w="1917" w:type="dxa"/>
            <w:shd w:val="clear" w:color="auto" w:fill="E8F4F4"/>
            <w:tcMar>
              <w:top w:w="85" w:type="dxa"/>
              <w:left w:w="140" w:type="dxa"/>
              <w:bottom w:w="85" w:type="dxa"/>
              <w:right w:w="140" w:type="dxa"/>
            </w:tcMar>
          </w:tcPr>
          <w:p w14:paraId="044C4C74"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Stock return volatility</w:t>
            </w:r>
          </w:p>
        </w:tc>
        <w:tc>
          <w:tcPr>
            <w:tcW w:w="1467" w:type="dxa"/>
            <w:shd w:val="clear" w:color="auto" w:fill="E8F4F4"/>
            <w:tcMar>
              <w:top w:w="85" w:type="dxa"/>
              <w:left w:w="140" w:type="dxa"/>
              <w:bottom w:w="85" w:type="dxa"/>
              <w:right w:w="140" w:type="dxa"/>
            </w:tcMar>
          </w:tcPr>
          <w:p w14:paraId="7E1DA6D3"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Dependent (RQ2)</w:t>
            </w:r>
          </w:p>
        </w:tc>
        <w:tc>
          <w:tcPr>
            <w:tcW w:w="3850" w:type="dxa"/>
            <w:shd w:val="clear" w:color="auto" w:fill="E8F4F4"/>
            <w:tcMar>
              <w:top w:w="85" w:type="dxa"/>
              <w:left w:w="140" w:type="dxa"/>
              <w:bottom w:w="85" w:type="dxa"/>
              <w:right w:w="140" w:type="dxa"/>
            </w:tcMar>
          </w:tcPr>
          <w:p w14:paraId="5295EC59"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Standard deviation of weekly log returns</w:t>
            </w:r>
          </w:p>
        </w:tc>
      </w:tr>
      <w:tr w:rsidR="00067F89" w:rsidRPr="00067F89" w14:paraId="180CAB5A" w14:textId="77777777" w:rsidTr="00067F89">
        <w:tblPrEx>
          <w:tblCellMar>
            <w:top w:w="0" w:type="dxa"/>
            <w:bottom w:w="0" w:type="dxa"/>
          </w:tblCellMar>
        </w:tblPrEx>
        <w:tc>
          <w:tcPr>
            <w:tcW w:w="1917" w:type="dxa"/>
            <w:shd w:val="clear" w:color="auto" w:fill="FFFFFF"/>
            <w:tcMar>
              <w:top w:w="85" w:type="dxa"/>
              <w:left w:w="140" w:type="dxa"/>
              <w:bottom w:w="85" w:type="dxa"/>
              <w:right w:w="140" w:type="dxa"/>
            </w:tcMar>
          </w:tcPr>
          <w:p w14:paraId="6D18A5ED"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Bank size</w:t>
            </w:r>
          </w:p>
        </w:tc>
        <w:tc>
          <w:tcPr>
            <w:tcW w:w="1467" w:type="dxa"/>
            <w:shd w:val="clear" w:color="auto" w:fill="FFFFFF"/>
            <w:tcMar>
              <w:top w:w="85" w:type="dxa"/>
              <w:left w:w="140" w:type="dxa"/>
              <w:bottom w:w="85" w:type="dxa"/>
              <w:right w:w="140" w:type="dxa"/>
            </w:tcMar>
          </w:tcPr>
          <w:p w14:paraId="65A258FA"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Control</w:t>
            </w:r>
          </w:p>
        </w:tc>
        <w:tc>
          <w:tcPr>
            <w:tcW w:w="3850" w:type="dxa"/>
            <w:shd w:val="clear" w:color="auto" w:fill="FFFFFF"/>
            <w:tcMar>
              <w:top w:w="85" w:type="dxa"/>
              <w:left w:w="140" w:type="dxa"/>
              <w:bottom w:w="85" w:type="dxa"/>
              <w:right w:w="140" w:type="dxa"/>
            </w:tcMar>
          </w:tcPr>
          <w:p w14:paraId="203C4D9B"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Natural log of total assets</w:t>
            </w:r>
          </w:p>
        </w:tc>
      </w:tr>
      <w:tr w:rsidR="00067F89" w:rsidRPr="00067F89" w14:paraId="58D8DF45" w14:textId="77777777" w:rsidTr="00067F89">
        <w:tblPrEx>
          <w:tblCellMar>
            <w:top w:w="0" w:type="dxa"/>
            <w:bottom w:w="0" w:type="dxa"/>
          </w:tblCellMar>
        </w:tblPrEx>
        <w:tc>
          <w:tcPr>
            <w:tcW w:w="1917" w:type="dxa"/>
            <w:shd w:val="clear" w:color="auto" w:fill="E8F4F4"/>
            <w:tcMar>
              <w:top w:w="85" w:type="dxa"/>
              <w:left w:w="140" w:type="dxa"/>
              <w:bottom w:w="85" w:type="dxa"/>
              <w:right w:w="140" w:type="dxa"/>
            </w:tcMar>
          </w:tcPr>
          <w:p w14:paraId="39165C49"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Leverage</w:t>
            </w:r>
          </w:p>
        </w:tc>
        <w:tc>
          <w:tcPr>
            <w:tcW w:w="1467" w:type="dxa"/>
            <w:shd w:val="clear" w:color="auto" w:fill="E8F4F4"/>
            <w:tcMar>
              <w:top w:w="85" w:type="dxa"/>
              <w:left w:w="140" w:type="dxa"/>
              <w:bottom w:w="85" w:type="dxa"/>
              <w:right w:w="140" w:type="dxa"/>
            </w:tcMar>
          </w:tcPr>
          <w:p w14:paraId="29DF2607"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Control</w:t>
            </w:r>
          </w:p>
        </w:tc>
        <w:tc>
          <w:tcPr>
            <w:tcW w:w="3850" w:type="dxa"/>
            <w:shd w:val="clear" w:color="auto" w:fill="E8F4F4"/>
            <w:tcMar>
              <w:top w:w="85" w:type="dxa"/>
              <w:left w:w="140" w:type="dxa"/>
              <w:bottom w:w="85" w:type="dxa"/>
              <w:right w:w="140" w:type="dxa"/>
            </w:tcMar>
          </w:tcPr>
          <w:p w14:paraId="70C29549"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Total debt / total equity</w:t>
            </w:r>
          </w:p>
        </w:tc>
      </w:tr>
      <w:tr w:rsidR="00067F89" w:rsidRPr="00067F89" w14:paraId="3330FEA2" w14:textId="77777777" w:rsidTr="00067F89">
        <w:tblPrEx>
          <w:tblCellMar>
            <w:top w:w="0" w:type="dxa"/>
            <w:bottom w:w="0" w:type="dxa"/>
          </w:tblCellMar>
        </w:tblPrEx>
        <w:tc>
          <w:tcPr>
            <w:tcW w:w="1917" w:type="dxa"/>
            <w:shd w:val="clear" w:color="auto" w:fill="FFFFFF"/>
            <w:tcMar>
              <w:top w:w="85" w:type="dxa"/>
              <w:left w:w="140" w:type="dxa"/>
              <w:bottom w:w="85" w:type="dxa"/>
              <w:right w:w="140" w:type="dxa"/>
            </w:tcMar>
          </w:tcPr>
          <w:p w14:paraId="12FA2D51"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Year dummies</w:t>
            </w:r>
          </w:p>
        </w:tc>
        <w:tc>
          <w:tcPr>
            <w:tcW w:w="1467" w:type="dxa"/>
            <w:shd w:val="clear" w:color="auto" w:fill="FFFFFF"/>
            <w:tcMar>
              <w:top w:w="85" w:type="dxa"/>
              <w:left w:w="140" w:type="dxa"/>
              <w:bottom w:w="85" w:type="dxa"/>
              <w:right w:w="140" w:type="dxa"/>
            </w:tcMar>
          </w:tcPr>
          <w:p w14:paraId="22A92856"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Control</w:t>
            </w:r>
          </w:p>
        </w:tc>
        <w:tc>
          <w:tcPr>
            <w:tcW w:w="3850" w:type="dxa"/>
            <w:shd w:val="clear" w:color="auto" w:fill="FFFFFF"/>
            <w:tcMar>
              <w:top w:w="85" w:type="dxa"/>
              <w:left w:w="140" w:type="dxa"/>
              <w:bottom w:w="85" w:type="dxa"/>
              <w:right w:w="140" w:type="dxa"/>
            </w:tcMar>
          </w:tcPr>
          <w:p w14:paraId="4E7D2FA7" w14:textId="77777777" w:rsidR="00067F89" w:rsidRPr="00067F89" w:rsidRDefault="00067F89" w:rsidP="00067F89">
            <w:pPr>
              <w:spacing w:line="240" w:lineRule="auto"/>
              <w:jc w:val="both"/>
              <w:rPr>
                <w:rFonts w:cs="Times New Roman"/>
                <w:szCs w:val="24"/>
              </w:rPr>
            </w:pPr>
            <w:r w:rsidRPr="00067F89">
              <w:rPr>
                <w:rFonts w:eastAsia="Calibri" w:cs="Times New Roman"/>
                <w:szCs w:val="24"/>
              </w:rPr>
              <w:t>2018–2023 fixed effects</w:t>
            </w:r>
          </w:p>
        </w:tc>
      </w:tr>
    </w:tbl>
    <w:p w14:paraId="40BB7D41"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5. Data Analysis Techniques</w:t>
      </w:r>
    </w:p>
    <w:p w14:paraId="73C0F3A3" w14:textId="77777777" w:rsidR="005B5FCE" w:rsidRPr="00067F89" w:rsidRDefault="005B5FCE" w:rsidP="00067F89">
      <w:pPr>
        <w:spacing w:line="360" w:lineRule="auto"/>
        <w:jc w:val="both"/>
        <w:rPr>
          <w:rFonts w:cs="Times New Roman"/>
          <w:szCs w:val="24"/>
        </w:rPr>
      </w:pPr>
      <w:r w:rsidRPr="00067F89">
        <w:rPr>
          <w:rFonts w:cs="Times New Roman"/>
          <w:szCs w:val="24"/>
        </w:rPr>
        <w:t>The analysis plan will be structured to answer all the research questions in the following order: descriptive characterisation followed by hypothesis testing to robustness checking strategy. The main analysis environment is Python 3.11 (with pandas, statsmodels, linearmodels, and scikit-learn libraries) in line with the study aim of illustrating how financial modelling can be performed with Python (RQ4). All the models are approximated at a significance level of p &lt; 0.05.</w:t>
      </w:r>
    </w:p>
    <w:tbl>
      <w:tblPr>
        <w:tblW w:w="92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285"/>
        <w:gridCol w:w="4436"/>
        <w:gridCol w:w="1214"/>
        <w:gridCol w:w="2325"/>
      </w:tblGrid>
      <w:tr w:rsidR="00D22EDE" w:rsidRPr="00067F89" w14:paraId="7F09CE89" w14:textId="77777777" w:rsidTr="00D22EDE">
        <w:tblPrEx>
          <w:tblCellMar>
            <w:top w:w="0" w:type="dxa"/>
            <w:bottom w:w="0" w:type="dxa"/>
          </w:tblCellMar>
        </w:tblPrEx>
        <w:trPr>
          <w:tblHeader/>
        </w:trPr>
        <w:tc>
          <w:tcPr>
            <w:tcW w:w="600" w:type="dxa"/>
            <w:shd w:val="clear" w:color="auto" w:fill="1B3A5C"/>
            <w:tcMar>
              <w:top w:w="95" w:type="dxa"/>
              <w:left w:w="140" w:type="dxa"/>
              <w:bottom w:w="95" w:type="dxa"/>
              <w:right w:w="140" w:type="dxa"/>
            </w:tcMar>
            <w:vAlign w:val="center"/>
          </w:tcPr>
          <w:p w14:paraId="7C25EF5A"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lastRenderedPageBreak/>
              <w:t>Stage</w:t>
            </w:r>
          </w:p>
        </w:tc>
        <w:tc>
          <w:tcPr>
            <w:tcW w:w="2900" w:type="dxa"/>
            <w:shd w:val="clear" w:color="auto" w:fill="1B3A5C"/>
            <w:tcMar>
              <w:top w:w="95" w:type="dxa"/>
              <w:left w:w="140" w:type="dxa"/>
              <w:bottom w:w="95" w:type="dxa"/>
              <w:right w:w="140" w:type="dxa"/>
            </w:tcMar>
            <w:vAlign w:val="center"/>
          </w:tcPr>
          <w:p w14:paraId="565C512C"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Technique</w:t>
            </w:r>
          </w:p>
        </w:tc>
        <w:tc>
          <w:tcPr>
            <w:tcW w:w="600" w:type="dxa"/>
            <w:shd w:val="clear" w:color="auto" w:fill="1B3A5C"/>
            <w:tcMar>
              <w:top w:w="95" w:type="dxa"/>
              <w:left w:w="140" w:type="dxa"/>
              <w:bottom w:w="95" w:type="dxa"/>
              <w:right w:w="140" w:type="dxa"/>
            </w:tcMar>
            <w:vAlign w:val="center"/>
          </w:tcPr>
          <w:p w14:paraId="2EA2DA08"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RQ</w:t>
            </w:r>
          </w:p>
        </w:tc>
        <w:tc>
          <w:tcPr>
            <w:tcW w:w="1500" w:type="dxa"/>
            <w:shd w:val="clear" w:color="auto" w:fill="1B3A5C"/>
            <w:tcMar>
              <w:top w:w="95" w:type="dxa"/>
              <w:left w:w="140" w:type="dxa"/>
              <w:bottom w:w="95" w:type="dxa"/>
              <w:right w:w="140" w:type="dxa"/>
            </w:tcMar>
            <w:vAlign w:val="center"/>
          </w:tcPr>
          <w:p w14:paraId="38931E9A" w14:textId="77777777" w:rsidR="005B5FCE" w:rsidRPr="00067F89" w:rsidRDefault="005B5FCE" w:rsidP="00067F89">
            <w:pPr>
              <w:spacing w:line="240" w:lineRule="auto"/>
              <w:jc w:val="both"/>
              <w:rPr>
                <w:rFonts w:cs="Times New Roman"/>
                <w:szCs w:val="24"/>
              </w:rPr>
            </w:pPr>
            <w:r w:rsidRPr="00067F89">
              <w:rPr>
                <w:rFonts w:eastAsia="Calibri" w:cs="Times New Roman"/>
                <w:b/>
                <w:bCs/>
                <w:szCs w:val="24"/>
              </w:rPr>
              <w:t>Software</w:t>
            </w:r>
          </w:p>
        </w:tc>
      </w:tr>
      <w:tr w:rsidR="00D22EDE" w:rsidRPr="00067F89" w14:paraId="60A456A2" w14:textId="77777777" w:rsidTr="00D22EDE">
        <w:tblPrEx>
          <w:tblCellMar>
            <w:top w:w="0" w:type="dxa"/>
            <w:bottom w:w="0" w:type="dxa"/>
          </w:tblCellMar>
        </w:tblPrEx>
        <w:tc>
          <w:tcPr>
            <w:tcW w:w="600" w:type="dxa"/>
            <w:shd w:val="clear" w:color="auto" w:fill="E8F4F4"/>
            <w:tcMar>
              <w:top w:w="85" w:type="dxa"/>
              <w:left w:w="140" w:type="dxa"/>
              <w:bottom w:w="85" w:type="dxa"/>
              <w:right w:w="140" w:type="dxa"/>
            </w:tcMar>
          </w:tcPr>
          <w:p w14:paraId="364560BF"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1</w:t>
            </w:r>
          </w:p>
        </w:tc>
        <w:tc>
          <w:tcPr>
            <w:tcW w:w="2900" w:type="dxa"/>
            <w:shd w:val="clear" w:color="auto" w:fill="E8F4F4"/>
            <w:tcMar>
              <w:top w:w="85" w:type="dxa"/>
              <w:left w:w="140" w:type="dxa"/>
              <w:bottom w:w="85" w:type="dxa"/>
              <w:right w:w="140" w:type="dxa"/>
            </w:tcMar>
          </w:tcPr>
          <w:p w14:paraId="1E9D4659"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Descriptive statistics; correlation matrix; VIF diagnostics</w:t>
            </w:r>
          </w:p>
        </w:tc>
        <w:tc>
          <w:tcPr>
            <w:tcW w:w="600" w:type="dxa"/>
            <w:shd w:val="clear" w:color="auto" w:fill="E8F4F4"/>
            <w:tcMar>
              <w:top w:w="85" w:type="dxa"/>
              <w:left w:w="140" w:type="dxa"/>
              <w:bottom w:w="85" w:type="dxa"/>
              <w:right w:w="140" w:type="dxa"/>
            </w:tcMar>
          </w:tcPr>
          <w:p w14:paraId="12A07856"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All</w:t>
            </w:r>
          </w:p>
        </w:tc>
        <w:tc>
          <w:tcPr>
            <w:tcW w:w="1500" w:type="dxa"/>
            <w:shd w:val="clear" w:color="auto" w:fill="E8F4F4"/>
            <w:tcMar>
              <w:top w:w="85" w:type="dxa"/>
              <w:left w:w="140" w:type="dxa"/>
              <w:bottom w:w="85" w:type="dxa"/>
              <w:right w:w="140" w:type="dxa"/>
            </w:tcMar>
          </w:tcPr>
          <w:p w14:paraId="313530F8"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pandas</w:t>
            </w:r>
          </w:p>
        </w:tc>
      </w:tr>
      <w:tr w:rsidR="00D22EDE" w:rsidRPr="00067F89" w14:paraId="02009CDA" w14:textId="77777777" w:rsidTr="00D22EDE">
        <w:tblPrEx>
          <w:tblCellMar>
            <w:top w:w="0" w:type="dxa"/>
            <w:bottom w:w="0" w:type="dxa"/>
          </w:tblCellMar>
        </w:tblPrEx>
        <w:tc>
          <w:tcPr>
            <w:tcW w:w="600" w:type="dxa"/>
            <w:shd w:val="clear" w:color="auto" w:fill="FFFFFF"/>
            <w:tcMar>
              <w:top w:w="85" w:type="dxa"/>
              <w:left w:w="140" w:type="dxa"/>
              <w:bottom w:w="85" w:type="dxa"/>
              <w:right w:w="140" w:type="dxa"/>
            </w:tcMar>
          </w:tcPr>
          <w:p w14:paraId="1B9C7C11"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2</w:t>
            </w:r>
          </w:p>
        </w:tc>
        <w:tc>
          <w:tcPr>
            <w:tcW w:w="2900" w:type="dxa"/>
            <w:shd w:val="clear" w:color="auto" w:fill="FFFFFF"/>
            <w:tcMar>
              <w:top w:w="85" w:type="dxa"/>
              <w:left w:w="140" w:type="dxa"/>
              <w:bottom w:w="85" w:type="dxa"/>
              <w:right w:w="140" w:type="dxa"/>
            </w:tcMar>
          </w:tcPr>
          <w:p w14:paraId="5D504B47"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Pooled OLS regression (baseline)</w:t>
            </w:r>
          </w:p>
        </w:tc>
        <w:tc>
          <w:tcPr>
            <w:tcW w:w="600" w:type="dxa"/>
            <w:shd w:val="clear" w:color="auto" w:fill="FFFFFF"/>
            <w:tcMar>
              <w:top w:w="85" w:type="dxa"/>
              <w:left w:w="140" w:type="dxa"/>
              <w:bottom w:w="85" w:type="dxa"/>
              <w:right w:w="140" w:type="dxa"/>
            </w:tcMar>
          </w:tcPr>
          <w:p w14:paraId="6C64B7FC"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RQ1, RQ2</w:t>
            </w:r>
          </w:p>
        </w:tc>
        <w:tc>
          <w:tcPr>
            <w:tcW w:w="1500" w:type="dxa"/>
            <w:shd w:val="clear" w:color="auto" w:fill="FFFFFF"/>
            <w:tcMar>
              <w:top w:w="85" w:type="dxa"/>
              <w:left w:w="140" w:type="dxa"/>
              <w:bottom w:w="85" w:type="dxa"/>
              <w:right w:w="140" w:type="dxa"/>
            </w:tcMar>
          </w:tcPr>
          <w:p w14:paraId="6EF32C8A"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statsmodels</w:t>
            </w:r>
          </w:p>
        </w:tc>
      </w:tr>
      <w:tr w:rsidR="00D22EDE" w:rsidRPr="00067F89" w14:paraId="1CF60129" w14:textId="77777777" w:rsidTr="00D22EDE">
        <w:tblPrEx>
          <w:tblCellMar>
            <w:top w:w="0" w:type="dxa"/>
            <w:bottom w:w="0" w:type="dxa"/>
          </w:tblCellMar>
        </w:tblPrEx>
        <w:tc>
          <w:tcPr>
            <w:tcW w:w="600" w:type="dxa"/>
            <w:shd w:val="clear" w:color="auto" w:fill="E8F4F4"/>
            <w:tcMar>
              <w:top w:w="85" w:type="dxa"/>
              <w:left w:w="140" w:type="dxa"/>
              <w:bottom w:w="85" w:type="dxa"/>
              <w:right w:w="140" w:type="dxa"/>
            </w:tcMar>
          </w:tcPr>
          <w:p w14:paraId="6C8E0E44"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3</w:t>
            </w:r>
          </w:p>
        </w:tc>
        <w:tc>
          <w:tcPr>
            <w:tcW w:w="2900" w:type="dxa"/>
            <w:shd w:val="clear" w:color="auto" w:fill="E8F4F4"/>
            <w:tcMar>
              <w:top w:w="85" w:type="dxa"/>
              <w:left w:w="140" w:type="dxa"/>
              <w:bottom w:w="85" w:type="dxa"/>
              <w:right w:w="140" w:type="dxa"/>
            </w:tcMar>
          </w:tcPr>
          <w:p w14:paraId="20C633F4"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Fixed-effects panel regression (primary model)</w:t>
            </w:r>
          </w:p>
        </w:tc>
        <w:tc>
          <w:tcPr>
            <w:tcW w:w="600" w:type="dxa"/>
            <w:shd w:val="clear" w:color="auto" w:fill="E8F4F4"/>
            <w:tcMar>
              <w:top w:w="85" w:type="dxa"/>
              <w:left w:w="140" w:type="dxa"/>
              <w:bottom w:w="85" w:type="dxa"/>
              <w:right w:w="140" w:type="dxa"/>
            </w:tcMar>
          </w:tcPr>
          <w:p w14:paraId="6EC3DBBF"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RQ1, RQ2</w:t>
            </w:r>
          </w:p>
        </w:tc>
        <w:tc>
          <w:tcPr>
            <w:tcW w:w="1500" w:type="dxa"/>
            <w:shd w:val="clear" w:color="auto" w:fill="E8F4F4"/>
            <w:tcMar>
              <w:top w:w="85" w:type="dxa"/>
              <w:left w:w="140" w:type="dxa"/>
              <w:bottom w:w="85" w:type="dxa"/>
              <w:right w:w="140" w:type="dxa"/>
            </w:tcMar>
          </w:tcPr>
          <w:p w14:paraId="6AD232DC"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linearmodels</w:t>
            </w:r>
          </w:p>
        </w:tc>
      </w:tr>
      <w:tr w:rsidR="00D22EDE" w:rsidRPr="00067F89" w14:paraId="56E6E52A" w14:textId="77777777" w:rsidTr="00D22EDE">
        <w:tblPrEx>
          <w:tblCellMar>
            <w:top w:w="0" w:type="dxa"/>
            <w:bottom w:w="0" w:type="dxa"/>
          </w:tblCellMar>
        </w:tblPrEx>
        <w:tc>
          <w:tcPr>
            <w:tcW w:w="600" w:type="dxa"/>
            <w:shd w:val="clear" w:color="auto" w:fill="FFFFFF"/>
            <w:tcMar>
              <w:top w:w="85" w:type="dxa"/>
              <w:left w:w="140" w:type="dxa"/>
              <w:bottom w:w="85" w:type="dxa"/>
              <w:right w:w="140" w:type="dxa"/>
            </w:tcMar>
          </w:tcPr>
          <w:p w14:paraId="24973047"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4</w:t>
            </w:r>
          </w:p>
        </w:tc>
        <w:tc>
          <w:tcPr>
            <w:tcW w:w="2900" w:type="dxa"/>
            <w:shd w:val="clear" w:color="auto" w:fill="FFFFFF"/>
            <w:tcMar>
              <w:top w:w="85" w:type="dxa"/>
              <w:left w:w="140" w:type="dxa"/>
              <w:bottom w:w="85" w:type="dxa"/>
              <w:right w:w="140" w:type="dxa"/>
            </w:tcMar>
          </w:tcPr>
          <w:p w14:paraId="5723D7FA"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Random-effects model + Hausman test</w:t>
            </w:r>
          </w:p>
        </w:tc>
        <w:tc>
          <w:tcPr>
            <w:tcW w:w="600" w:type="dxa"/>
            <w:shd w:val="clear" w:color="auto" w:fill="FFFFFF"/>
            <w:tcMar>
              <w:top w:w="85" w:type="dxa"/>
              <w:left w:w="140" w:type="dxa"/>
              <w:bottom w:w="85" w:type="dxa"/>
              <w:right w:w="140" w:type="dxa"/>
            </w:tcMar>
          </w:tcPr>
          <w:p w14:paraId="152176E7"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RQ1, RQ2</w:t>
            </w:r>
          </w:p>
        </w:tc>
        <w:tc>
          <w:tcPr>
            <w:tcW w:w="1500" w:type="dxa"/>
            <w:shd w:val="clear" w:color="auto" w:fill="FFFFFF"/>
            <w:tcMar>
              <w:top w:w="85" w:type="dxa"/>
              <w:left w:w="140" w:type="dxa"/>
              <w:bottom w:w="85" w:type="dxa"/>
              <w:right w:w="140" w:type="dxa"/>
            </w:tcMar>
          </w:tcPr>
          <w:p w14:paraId="3FDB30AB"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linearmodels</w:t>
            </w:r>
          </w:p>
        </w:tc>
      </w:tr>
      <w:tr w:rsidR="00D22EDE" w:rsidRPr="00067F89" w14:paraId="34DCE5A0" w14:textId="77777777" w:rsidTr="00D22EDE">
        <w:tblPrEx>
          <w:tblCellMar>
            <w:top w:w="0" w:type="dxa"/>
            <w:bottom w:w="0" w:type="dxa"/>
          </w:tblCellMar>
        </w:tblPrEx>
        <w:tc>
          <w:tcPr>
            <w:tcW w:w="600" w:type="dxa"/>
            <w:shd w:val="clear" w:color="auto" w:fill="E8F4F4"/>
            <w:tcMar>
              <w:top w:w="85" w:type="dxa"/>
              <w:left w:w="140" w:type="dxa"/>
              <w:bottom w:w="85" w:type="dxa"/>
              <w:right w:w="140" w:type="dxa"/>
            </w:tcMar>
          </w:tcPr>
          <w:p w14:paraId="72F25C50"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5</w:t>
            </w:r>
          </w:p>
        </w:tc>
        <w:tc>
          <w:tcPr>
            <w:tcW w:w="2900" w:type="dxa"/>
            <w:shd w:val="clear" w:color="auto" w:fill="E8F4F4"/>
            <w:tcMar>
              <w:top w:w="85" w:type="dxa"/>
              <w:left w:w="140" w:type="dxa"/>
              <w:bottom w:w="85" w:type="dxa"/>
              <w:right w:w="140" w:type="dxa"/>
            </w:tcMar>
          </w:tcPr>
          <w:p w14:paraId="56CC6405"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Moderation analysis: ESG × post-2021 policy dummy</w:t>
            </w:r>
          </w:p>
        </w:tc>
        <w:tc>
          <w:tcPr>
            <w:tcW w:w="600" w:type="dxa"/>
            <w:shd w:val="clear" w:color="auto" w:fill="E8F4F4"/>
            <w:tcMar>
              <w:top w:w="85" w:type="dxa"/>
              <w:left w:w="140" w:type="dxa"/>
              <w:bottom w:w="85" w:type="dxa"/>
              <w:right w:w="140" w:type="dxa"/>
            </w:tcMar>
          </w:tcPr>
          <w:p w14:paraId="7A25F080"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RQ3</w:t>
            </w:r>
          </w:p>
        </w:tc>
        <w:tc>
          <w:tcPr>
            <w:tcW w:w="1500" w:type="dxa"/>
            <w:shd w:val="clear" w:color="auto" w:fill="E8F4F4"/>
            <w:tcMar>
              <w:top w:w="85" w:type="dxa"/>
              <w:left w:w="140" w:type="dxa"/>
              <w:bottom w:w="85" w:type="dxa"/>
              <w:right w:w="140" w:type="dxa"/>
            </w:tcMar>
          </w:tcPr>
          <w:p w14:paraId="1C8852CB"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statsmodels</w:t>
            </w:r>
          </w:p>
        </w:tc>
      </w:tr>
      <w:tr w:rsidR="00D22EDE" w:rsidRPr="00067F89" w14:paraId="73B72F43" w14:textId="77777777" w:rsidTr="00D22EDE">
        <w:tblPrEx>
          <w:tblCellMar>
            <w:top w:w="0" w:type="dxa"/>
            <w:bottom w:w="0" w:type="dxa"/>
          </w:tblCellMar>
        </w:tblPrEx>
        <w:tc>
          <w:tcPr>
            <w:tcW w:w="600" w:type="dxa"/>
            <w:shd w:val="clear" w:color="auto" w:fill="FFFFFF"/>
            <w:tcMar>
              <w:top w:w="85" w:type="dxa"/>
              <w:left w:w="140" w:type="dxa"/>
              <w:bottom w:w="85" w:type="dxa"/>
              <w:right w:w="140" w:type="dxa"/>
            </w:tcMar>
          </w:tcPr>
          <w:p w14:paraId="19620797"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6</w:t>
            </w:r>
          </w:p>
        </w:tc>
        <w:tc>
          <w:tcPr>
            <w:tcW w:w="2900" w:type="dxa"/>
            <w:shd w:val="clear" w:color="auto" w:fill="FFFFFF"/>
            <w:tcMar>
              <w:top w:w="85" w:type="dxa"/>
              <w:left w:w="140" w:type="dxa"/>
              <w:bottom w:w="85" w:type="dxa"/>
              <w:right w:w="140" w:type="dxa"/>
            </w:tcMar>
          </w:tcPr>
          <w:p w14:paraId="60C9E4E0"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Robustness checks: GMM estimation; alternative ESG source</w:t>
            </w:r>
          </w:p>
        </w:tc>
        <w:tc>
          <w:tcPr>
            <w:tcW w:w="600" w:type="dxa"/>
            <w:shd w:val="clear" w:color="auto" w:fill="FFFFFF"/>
            <w:tcMar>
              <w:top w:w="85" w:type="dxa"/>
              <w:left w:w="140" w:type="dxa"/>
              <w:bottom w:w="85" w:type="dxa"/>
              <w:right w:w="140" w:type="dxa"/>
            </w:tcMar>
          </w:tcPr>
          <w:p w14:paraId="3C5E47FB"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All</w:t>
            </w:r>
          </w:p>
        </w:tc>
        <w:tc>
          <w:tcPr>
            <w:tcW w:w="1500" w:type="dxa"/>
            <w:shd w:val="clear" w:color="auto" w:fill="FFFFFF"/>
            <w:tcMar>
              <w:top w:w="85" w:type="dxa"/>
              <w:left w:w="140" w:type="dxa"/>
              <w:bottom w:w="85" w:type="dxa"/>
              <w:right w:w="140" w:type="dxa"/>
            </w:tcMar>
          </w:tcPr>
          <w:p w14:paraId="07FC4386" w14:textId="77777777" w:rsidR="005B5FCE" w:rsidRPr="00067F89" w:rsidRDefault="005B5FCE" w:rsidP="00067F89">
            <w:pPr>
              <w:spacing w:line="240" w:lineRule="auto"/>
              <w:jc w:val="both"/>
              <w:rPr>
                <w:rFonts w:cs="Times New Roman"/>
                <w:szCs w:val="24"/>
              </w:rPr>
            </w:pPr>
            <w:r w:rsidRPr="00067F89">
              <w:rPr>
                <w:rFonts w:eastAsia="Calibri" w:cs="Times New Roman"/>
                <w:szCs w:val="24"/>
              </w:rPr>
              <w:t>Python / linearmodels</w:t>
            </w:r>
          </w:p>
        </w:tc>
      </w:tr>
    </w:tbl>
    <w:p w14:paraId="4C4FA9ED" w14:textId="77777777" w:rsidR="005B5FCE" w:rsidRPr="00067F89" w:rsidRDefault="005B5FCE" w:rsidP="00067F89">
      <w:pPr>
        <w:spacing w:line="360" w:lineRule="auto"/>
        <w:jc w:val="both"/>
        <w:rPr>
          <w:rFonts w:cs="Times New Roman"/>
          <w:szCs w:val="24"/>
        </w:rPr>
      </w:pPr>
    </w:p>
    <w:p w14:paraId="7CF22B0F"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5.1 Descriptive Statistics and Diagnostics.</w:t>
      </w:r>
    </w:p>
    <w:p w14:paraId="716AE731" w14:textId="77777777" w:rsidR="005B5FCE" w:rsidRPr="00067F89" w:rsidRDefault="005B5FCE" w:rsidP="00067F89">
      <w:pPr>
        <w:spacing w:line="360" w:lineRule="auto"/>
        <w:jc w:val="both"/>
        <w:rPr>
          <w:rFonts w:cs="Times New Roman"/>
          <w:szCs w:val="24"/>
        </w:rPr>
      </w:pPr>
      <w:r w:rsidRPr="00067F89">
        <w:rPr>
          <w:rFonts w:cs="Times New Roman"/>
          <w:szCs w:val="24"/>
        </w:rPr>
        <w:t>All variables will be estimated before any estimation is done by computing descriptive statistics (means, standard deviations, skewness, kurtosis) and a Pearson correlation matrix. To check the stationarity of continuous variables, which is a condition of valid inference of panel regression, variability inflations factors (VIF &gt; 10, which indicates problematic multicollinearity; Hair et al., 2019) and panel unit root tests (Im-Pesaran-Shin test) will be undertaken.</w:t>
      </w:r>
    </w:p>
    <w:p w14:paraId="4615B07A"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5.2 Pooled OLS and Fixed-Effects Panel Regression</w:t>
      </w:r>
    </w:p>
    <w:p w14:paraId="49200DBD"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The main method of analysis is fixed-effects (FE) panel regression, which is estimated on the bank-year panel. FE is econometrically and theoretically justified when compared to pooled OLS. In pooled OLS, all the bank-year observations are considered independent and the unobservable time-invariant bank-specific attributes, such as ownership structure, founding ethos, management culture, that affect both ESG scores and firm value, are ignored. Omission of the control of these confounders results in omitted variable bias, which inflates or deflates the estimated ESG coefficients (Wooldridge, 2010). Fixed-effects estimation eliminates all non-bank-specific </w:t>
      </w:r>
      <w:r w:rsidRPr="00067F89">
        <w:rPr>
          <w:rFonts w:cs="Times New Roman"/>
          <w:szCs w:val="24"/>
        </w:rPr>
        <w:lastRenderedPageBreak/>
        <w:t>heterogeneity by demeaning the variables at the bank level, which results in unbiased estimates of the within-bank ESG -value relationship. This is in line with the best practice in ESG, firm performance panel research (Buallay et al., 2020; El Khoury, Nasrallah and Alareeni, 2021).</w:t>
      </w:r>
    </w:p>
    <w:p w14:paraId="5CC7AC84" w14:textId="77777777" w:rsidR="005B5FCE" w:rsidRPr="00067F89" w:rsidRDefault="005B5FCE" w:rsidP="00067F89">
      <w:pPr>
        <w:spacing w:line="360" w:lineRule="auto"/>
        <w:jc w:val="both"/>
        <w:rPr>
          <w:rFonts w:cs="Times New Roman"/>
          <w:szCs w:val="24"/>
        </w:rPr>
      </w:pPr>
      <w:r w:rsidRPr="00067F89">
        <w:rPr>
          <w:rFonts w:cs="Times New Roman"/>
          <w:szCs w:val="24"/>
        </w:rPr>
        <w:t>The model of the FE at the base is:</w:t>
      </w:r>
    </w:p>
    <w:p w14:paraId="6565BE24"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Yit = α + β1 ESGit + β2 Sizeit + β3 Leverageit + γt + εit</w:t>
      </w:r>
    </w:p>
    <w:p w14:paraId="22D93549" w14:textId="0040D7A9" w:rsidR="005B5FCE" w:rsidRPr="00067F89" w:rsidRDefault="005B5FCE" w:rsidP="00067F89">
      <w:pPr>
        <w:spacing w:line="360" w:lineRule="auto"/>
        <w:jc w:val="both"/>
        <w:rPr>
          <w:rFonts w:cs="Times New Roman"/>
          <w:szCs w:val="24"/>
        </w:rPr>
      </w:pPr>
      <w:r w:rsidRPr="00067F89">
        <w:rPr>
          <w:rFonts w:cs="Times New Roman"/>
          <w:szCs w:val="24"/>
        </w:rPr>
        <w:t>w</w:t>
      </w:r>
      <w:r w:rsidR="00D22EDE" w:rsidRPr="00067F89">
        <w:rPr>
          <w:rFonts w:cs="Times New Roman"/>
          <w:szCs w:val="24"/>
        </w:rPr>
        <w:t>here</w:t>
      </w:r>
      <w:r w:rsidRPr="00067F89">
        <w:rPr>
          <w:rFonts w:cs="Times New Roman"/>
          <w:szCs w:val="24"/>
        </w:rPr>
        <w:t xml:space="preserve"> Y the dependent variable (Tobin’s Q or ROA) i the index of a bank, t the index of a year,  year fixed effects adjusting to macroeconomic cycles that are common to all banks, and ε the idiosyncratic error term. The inclusion of year fixed effects is motivated by the fact that UAE macroeconomic conditions, oil price cycles, and regulatory changes are the factors that impact all banks at the same time and need to be separated by the ESG effect.</w:t>
      </w:r>
    </w:p>
    <w:p w14:paraId="3BC5F85B" w14:textId="77777777" w:rsidR="005B5FCE" w:rsidRPr="00067F89" w:rsidRDefault="005B5FCE" w:rsidP="00067F89">
      <w:pPr>
        <w:spacing w:line="360" w:lineRule="auto"/>
        <w:jc w:val="both"/>
        <w:rPr>
          <w:rFonts w:cs="Times New Roman"/>
          <w:szCs w:val="24"/>
        </w:rPr>
      </w:pPr>
      <w:r w:rsidRPr="00067F89">
        <w:rPr>
          <w:rFonts w:cs="Times New Roman"/>
          <w:szCs w:val="24"/>
        </w:rPr>
        <w:t>Hausman specification test will be used to identify which of the fixed-effects or random-effects (RE) estimation should be used. RE is more efficient under the null hypothesis that the regressors are not correlated with the effects of banks; the null should be rejected, which happens here because the ESG investment decisions are endogenous (Wooldridge, 2010). The standard errors will be concentrated on the bank level to eliminate within-bank serial correlation.</w:t>
      </w:r>
    </w:p>
    <w:p w14:paraId="01761BF5" w14:textId="77777777" w:rsidR="005B5FCE" w:rsidRPr="00067F89" w:rsidRDefault="005B5FCE" w:rsidP="00067F89">
      <w:pPr>
        <w:spacing w:line="360" w:lineRule="auto"/>
        <w:jc w:val="both"/>
        <w:rPr>
          <w:rFonts w:cs="Times New Roman"/>
          <w:szCs w:val="24"/>
        </w:rPr>
      </w:pPr>
      <w:r w:rsidRPr="00067F89">
        <w:rPr>
          <w:rFonts w:cs="Times New Roman"/>
          <w:szCs w:val="24"/>
        </w:rPr>
        <w:t>The OLS pooled is kept as a control group, which is in line with the reporting standards used in the area, but its estimates are explicitly recognized as being possibly biased. Bivariate correlation (simplified) has been taken into account but was discarded due to its inability to control confounders, there is no possibility to distinguish within- and between-bank variation, and the direction of influence is not determined (Bryman, 2016). A single-year cross-sectional regression was also rejected, as it eliminates the time-varying that is the key source of identification in the study.</w:t>
      </w:r>
    </w:p>
    <w:p w14:paraId="2B1B34C3"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5.3 Policy Interaction: ESG × Policy.</w:t>
      </w:r>
    </w:p>
    <w:p w14:paraId="4DC3DD81"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To answer RQ3 - is ESG a real value driver or a signalling mechanism? - a moderation analysis is performed by adding an interaction term between the ESG score and a binary post-2021 policy dummy (coded 1 when the year is 20212023, indicating the UAE Net Zero by 2050 announcement). Positive interaction coefficient (significant at the p= 0.05 level) would be evidence that the ESG-value relationship increased after the policy changed, which is consistent </w:t>
      </w:r>
      <w:r w:rsidRPr="00067F89">
        <w:rPr>
          <w:rFonts w:cs="Times New Roman"/>
          <w:szCs w:val="24"/>
        </w:rPr>
        <w:lastRenderedPageBreak/>
        <w:t>with a signalling interpretation: when the regulatory scrutiny is increased, ESG disclosure would result in higher investor attention and premium. A non-significant interaction, in its turn, would be favorable to the RBV interpretation that ESG has its operational channels which are not dependent on the regulatory environment. This design is based on the conditional process model by Hayes (2018) that is tailored to the panel-based setting.</w:t>
      </w:r>
    </w:p>
    <w:p w14:paraId="48EFF257"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5.4 Checks of Robustness: GMM Estimation</w:t>
      </w:r>
    </w:p>
    <w:p w14:paraId="3830C727" w14:textId="77777777" w:rsidR="005B5FCE" w:rsidRPr="00067F89" w:rsidRDefault="005B5FCE" w:rsidP="00067F89">
      <w:pPr>
        <w:spacing w:line="360" w:lineRule="auto"/>
        <w:jc w:val="both"/>
        <w:rPr>
          <w:rFonts w:cs="Times New Roman"/>
          <w:szCs w:val="24"/>
        </w:rPr>
      </w:pPr>
      <w:r w:rsidRPr="00067F89">
        <w:rPr>
          <w:rFonts w:cs="Times New Roman"/>
          <w:szCs w:val="24"/>
        </w:rPr>
        <w:t>Another important endogeneity issue in the ESG-performance study is reverse causality: as banks are financially stronger, they can invest more in ESG, creating an upward bias in 0 (Wooldridge, 2010). Although fixed effects can solve time-invariant confounding, they cannot solve dynamic endogeneity. The System Generalised Method of Moments (GMM) estimator (Arellano and Bond, 1991) eliminates this with the System Generalised Method of Moments (GMM) estimator which instrument the current ESG scores with their lagged values, thus removing endogeneity in the estimation. The most plausible causal explanation of the ESG coefficient that can be achieved with this sample size is System GMM, which is the standard robustness method used in banking panel studies (Buallay et al., 2020). Instrument validity will be checked by the Arellano-Bond AR(2) test and Hansen J-test. One additional robustness check is to use Refinitiv scores in place of Bloomberg ESG scores to determine whether results are dependent on the ESG data provider.</w:t>
      </w:r>
    </w:p>
    <w:p w14:paraId="3BFD4523" w14:textId="4EC64691" w:rsidR="00F8394D" w:rsidRPr="00067F89" w:rsidRDefault="005B5FCE" w:rsidP="00067F89">
      <w:pPr>
        <w:spacing w:line="360" w:lineRule="auto"/>
        <w:jc w:val="both"/>
        <w:rPr>
          <w:rFonts w:cs="Times New Roman"/>
          <w:szCs w:val="24"/>
        </w:rPr>
      </w:pPr>
      <w:r w:rsidRPr="00067F89">
        <w:rPr>
          <w:rFonts w:cs="Times New Roman"/>
          <w:szCs w:val="24"/>
        </w:rPr>
        <w:t>Structural Equation Modelling (SEM) was considered as a means of simultaneously estimating the measurement and structural components of the ESG–value relationship. Nevertheless, SEM has a 200 observation minimum to have consistent parameter estimates (Kline, 2016); at 84-102 bank-years, the SEM would be underpowered. The most suitable available technique is thus panel regression with GMM.</w:t>
      </w:r>
    </w:p>
    <w:p w14:paraId="1F395680" w14:textId="77777777" w:rsidR="005B5FCE" w:rsidRPr="00067F89" w:rsidRDefault="005B5FCE" w:rsidP="00067F89">
      <w:pPr>
        <w:spacing w:line="360" w:lineRule="auto"/>
        <w:jc w:val="both"/>
        <w:rPr>
          <w:rFonts w:cs="Times New Roman"/>
          <w:b/>
          <w:bCs/>
          <w:szCs w:val="24"/>
        </w:rPr>
      </w:pPr>
      <w:r w:rsidRPr="00067F89">
        <w:rPr>
          <w:rFonts w:cs="Times New Roman"/>
          <w:b/>
          <w:bCs/>
          <w:szCs w:val="24"/>
        </w:rPr>
        <w:t>6. Ethical Considerations</w:t>
      </w:r>
    </w:p>
    <w:p w14:paraId="75B821C5" w14:textId="77777777" w:rsidR="005B5FCE" w:rsidRPr="00067F89" w:rsidRDefault="005B5FCE" w:rsidP="00067F89">
      <w:pPr>
        <w:spacing w:line="360" w:lineRule="auto"/>
        <w:jc w:val="both"/>
        <w:rPr>
          <w:rFonts w:cs="Times New Roman"/>
          <w:szCs w:val="24"/>
        </w:rPr>
      </w:pPr>
      <w:r w:rsidRPr="00067F89">
        <w:rPr>
          <w:rFonts w:cs="Times New Roman"/>
          <w:szCs w:val="24"/>
        </w:rPr>
        <w:t xml:space="preserve">Since this research will solely follow the use of publicly available secondary data, i.e., audited annual reports, stock exchange disclosures, and commercially licensed databases (Bloomberg, Refinitiv) to which the researcher will have a subscription, the study will not be associated with human participants and, thus, represent a low ethical risk. There is no informed consent or anonymisation or participant welfare requirement (Bell and Bryman, 2022). The research ethics committee in the university will, however, seek ethics approval as per the governance framework </w:t>
      </w:r>
      <w:r w:rsidRPr="00067F89">
        <w:rPr>
          <w:rFonts w:cs="Times New Roman"/>
          <w:szCs w:val="24"/>
        </w:rPr>
        <w:lastRenderedPageBreak/>
        <w:t>of Heriot-Watt University (HWU, 2023) that formal review of any research project is required irrespective of the level of risk.</w:t>
      </w:r>
    </w:p>
    <w:p w14:paraId="2367F621" w14:textId="6132F0E4" w:rsidR="00D22EDE" w:rsidRPr="00067F89" w:rsidRDefault="005B5FCE" w:rsidP="00067F89">
      <w:pPr>
        <w:spacing w:line="360" w:lineRule="auto"/>
        <w:jc w:val="both"/>
        <w:rPr>
          <w:rFonts w:cs="Times New Roman"/>
          <w:szCs w:val="24"/>
        </w:rPr>
      </w:pPr>
      <w:r w:rsidRPr="00067F89">
        <w:rPr>
          <w:rFonts w:cs="Times New Roman"/>
          <w:szCs w:val="24"/>
        </w:rPr>
        <w:t>There are three ethical dimensions, which should be considered. First, data accuracy and integrity: the entire financial and ESG data will be reported without any partial omissions, manipulations, and post-hoc exclusion of observations, depending on the results. All sample construction protocol will be recorded in a transparent manner to facilitate replication. Second, intellectual honesty on data restrictions: the differences in ESG scores between the providers (Berg, Koelbel and Rigobon, 2022) will be fully disclosed as opposed to being considered as a clear indicator of sustainability performance. Third, commercially licensed data (Bloomberg, Refinitiv Eikon) is used only on research purposes in line with the institutional licence agreement; data will not be distributed outside of the research team or repurposed or used commercially. Reporting of results will be done accurately with non-significant results, which aligns with the principle of research integrity (Bell and Bryman, 2022).</w:t>
      </w:r>
    </w:p>
    <w:p w14:paraId="28946D54" w14:textId="71E606FB" w:rsidR="005B5FCE" w:rsidRPr="00067F89" w:rsidRDefault="00D22EDE" w:rsidP="00067F89">
      <w:pPr>
        <w:spacing w:line="360" w:lineRule="auto"/>
        <w:jc w:val="both"/>
        <w:rPr>
          <w:rFonts w:cs="Times New Roman"/>
          <w:szCs w:val="24"/>
        </w:rPr>
      </w:pPr>
      <w:r w:rsidRPr="00067F89">
        <w:rPr>
          <w:rFonts w:cs="Times New Roman"/>
          <w:szCs w:val="24"/>
        </w:rPr>
        <w:br w:type="page"/>
      </w:r>
    </w:p>
    <w:p w14:paraId="2733F4A4" w14:textId="77777777" w:rsidR="00D22EDE" w:rsidRPr="00067F89" w:rsidRDefault="00D22EDE" w:rsidP="00067F89">
      <w:pPr>
        <w:spacing w:before="200" w:after="130" w:line="360" w:lineRule="auto"/>
        <w:jc w:val="both"/>
        <w:rPr>
          <w:rFonts w:cs="Times New Roman"/>
          <w:szCs w:val="24"/>
        </w:rPr>
      </w:pPr>
      <w:r w:rsidRPr="00067F89">
        <w:rPr>
          <w:rFonts w:eastAsia="Calibri" w:cs="Times New Roman"/>
          <w:b/>
          <w:bCs/>
          <w:szCs w:val="24"/>
        </w:rPr>
        <w:lastRenderedPageBreak/>
        <w:t>References</w:t>
      </w:r>
    </w:p>
    <w:p w14:paraId="0F3D117F" w14:textId="22BEAD90"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 xml:space="preserve">Abdullah, A., Talha, M. and Hadi, N.U. (2025). The effects of ESG performance on financial performance: evidence from GCC countries. Corporate Social Responsibility and Environmental Management. </w:t>
      </w:r>
      <w:hyperlink r:id="rId5" w:history="1">
        <w:r w:rsidRPr="00067F89">
          <w:rPr>
            <w:rStyle w:val="Hyperlink"/>
            <w:rFonts w:eastAsia="Calibri" w:cs="Times New Roman"/>
            <w:szCs w:val="24"/>
          </w:rPr>
          <w:t>https://doi.org/10.</w:t>
        </w:r>
        <w:r w:rsidRPr="00067F89">
          <w:rPr>
            <w:rStyle w:val="Hyperlink"/>
            <w:rFonts w:eastAsia="Calibri" w:cs="Times New Roman"/>
            <w:szCs w:val="24"/>
          </w:rPr>
          <w:t>1</w:t>
        </w:r>
        <w:r w:rsidRPr="00067F89">
          <w:rPr>
            <w:rStyle w:val="Hyperlink"/>
            <w:rFonts w:eastAsia="Calibri" w:cs="Times New Roman"/>
            <w:szCs w:val="24"/>
          </w:rPr>
          <w:t>002/</w:t>
        </w:r>
        <w:r w:rsidRPr="00067F89">
          <w:rPr>
            <w:rStyle w:val="Hyperlink"/>
            <w:rFonts w:eastAsia="Calibri" w:cs="Times New Roman"/>
            <w:szCs w:val="24"/>
          </w:rPr>
          <w:t>c</w:t>
        </w:r>
        <w:r w:rsidRPr="00067F89">
          <w:rPr>
            <w:rStyle w:val="Hyperlink"/>
            <w:rFonts w:eastAsia="Calibri" w:cs="Times New Roman"/>
            <w:szCs w:val="24"/>
          </w:rPr>
          <w:t>sr.70301</w:t>
        </w:r>
      </w:hyperlink>
      <w:r w:rsidRPr="00067F89">
        <w:rPr>
          <w:rFonts w:eastAsia="Calibri" w:cs="Times New Roman"/>
          <w:szCs w:val="24"/>
        </w:rPr>
        <w:t>.</w:t>
      </w:r>
    </w:p>
    <w:p w14:paraId="34D4E76A"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Arellano, M. and Bond, S. (1991). Some tests of specification for panel data: Monte Carlo evidence and an application to employment equations. Review of Economic Studies, 58(2), pp.277–297.</w:t>
      </w:r>
    </w:p>
    <w:p w14:paraId="66BEA2C6"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Bell, E. and Bryman, A. (2022). Business Research Methods. 6th ed. Oxford: Oxford University Press.</w:t>
      </w:r>
    </w:p>
    <w:p w14:paraId="3A777AE5"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Berg, F., Koelbel, J.F. and Rigobon, R. (2022). Aggregate confusion: the divergence of ESG ratings. Review of Finance, 26(6), pp.1315–1344.</w:t>
      </w:r>
    </w:p>
    <w:p w14:paraId="14B26B6D"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Bryman, A. (2016). Social Research Methods. 5th ed. Oxford: Oxford University Press.</w:t>
      </w:r>
    </w:p>
    <w:p w14:paraId="1BCFEBF9"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Buallay, A., Fadel, S.M., Alajmi, J. and Saudagaran, S. (2020). Sustainability reporting and bank performance after the financial crisis. Competitiveness Review: An International Business Journal, 31(4), pp.747–770. https://doi.org/10.1108/cr-04-2019-0040.</w:t>
      </w:r>
    </w:p>
    <w:p w14:paraId="129C6BDA"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Creswell, J.W. and Creswell, J.D. (2018). Research Design: Qualitative, Quantitative, and Mixed Methods Approaches. 5th ed. Thousand Oaks: SAGE.</w:t>
      </w:r>
    </w:p>
    <w:p w14:paraId="15E24D1C"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Crotty, M. (1998). The Foundations of Social Research: Meaning and Perspective in the Research Process. London: SAGE.</w:t>
      </w:r>
    </w:p>
    <w:p w14:paraId="25B4E684"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El Khoury, R., Nasrallah, N. and Alareeni, B. (2021). ESG and financial performance of banks in the MENAT region: concavity–convexity patterns. Journal of Sustainable Finance &amp; Investment, 13(1), pp.1–25. https://doi.org/10.1080/20430795.2021.1929807.</w:t>
      </w:r>
    </w:p>
    <w:p w14:paraId="27FC2A66"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Guba, E.G. and Lincoln, Y.S. (1994). Competing paradigms in qualitative research. In: Denzin, N.K. and Lincoln, Y.S., eds. Handbook of Qualitative Research. Thousand Oaks: SAGE, pp.105–117.</w:t>
      </w:r>
    </w:p>
    <w:p w14:paraId="0FF359BC"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Hair, J.F., Black, W.C., Babin, B.J. and Anderson, R.E. (2019). Multivariate Data Analysis. 8th ed. Andover: Cengage.</w:t>
      </w:r>
    </w:p>
    <w:p w14:paraId="05C62A23"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Hayes, A.F. (2018). Introduction to Mediation, Moderation, and Conditional Process Analysis. 2nd ed. New York: Guilford Press.</w:t>
      </w:r>
    </w:p>
    <w:p w14:paraId="1E4B33F8"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lastRenderedPageBreak/>
        <w:t>Heriot-Watt University (HWU) (2023). Research Ethics Policy. Edinburgh: Heriot-Watt University.</w:t>
      </w:r>
    </w:p>
    <w:p w14:paraId="46156DDC"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Huang, J. and Zhou, Z. (2024). The impact of ESG performance on corporate value: an empirical analysis based on A-share listed companies. International Journal of Global Economics and Management, 2(3), pp.263–269. https://doi.org/10.62051/ijgem.v2n3.31.</w:t>
      </w:r>
    </w:p>
    <w:p w14:paraId="3F2476AD"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Kline, R.B. (2016). Principles and Practice of Structural Equation Modeling. 4th ed. New York: Guilford Press.</w:t>
      </w:r>
    </w:p>
    <w:p w14:paraId="74E997F2"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Mahajan, R., Lim, W.M., Sareen, M., Kumar, S. and Panwar, R. (2023). Stakeholder theory. Journal of Business Research, 166, p.114104. https://doi.org/10.1016/j.jbusres.2023.114104.</w:t>
      </w:r>
    </w:p>
    <w:p w14:paraId="40771B98" w14:textId="77777777" w:rsidR="00D22EDE" w:rsidRPr="00067F89" w:rsidRDefault="00D22EDE" w:rsidP="00067F89">
      <w:pPr>
        <w:spacing w:before="50" w:after="50" w:line="360" w:lineRule="auto"/>
        <w:ind w:left="720" w:hanging="720"/>
        <w:jc w:val="both"/>
        <w:rPr>
          <w:rFonts w:cs="Times New Roman"/>
          <w:szCs w:val="24"/>
        </w:rPr>
      </w:pPr>
      <w:r w:rsidRPr="00067F89">
        <w:rPr>
          <w:rFonts w:eastAsia="Calibri" w:cs="Times New Roman"/>
          <w:szCs w:val="24"/>
        </w:rPr>
        <w:t>Saunders, M., Lewis, P. and Thornhill, A. (2019). Research Methods for Business Students. 8th ed. Harlow: Pearson.</w:t>
      </w:r>
    </w:p>
    <w:p w14:paraId="04C225E2" w14:textId="346A79A6" w:rsidR="00D22EDE" w:rsidRPr="00067F89" w:rsidRDefault="00D22EDE" w:rsidP="00067F89">
      <w:pPr>
        <w:spacing w:line="360" w:lineRule="auto"/>
        <w:jc w:val="both"/>
        <w:rPr>
          <w:rFonts w:cs="Times New Roman"/>
          <w:szCs w:val="24"/>
        </w:rPr>
      </w:pPr>
      <w:r w:rsidRPr="00067F89">
        <w:rPr>
          <w:rFonts w:eastAsia="Calibri" w:cs="Times New Roman"/>
          <w:szCs w:val="24"/>
        </w:rPr>
        <w:t>Wooldridge, J.M. (2010). Econometric Analysis of Cross Section and Panel Data.</w:t>
      </w:r>
    </w:p>
    <w:sectPr w:rsidR="00D22EDE" w:rsidRPr="00067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712D"/>
    <w:multiLevelType w:val="hybridMultilevel"/>
    <w:tmpl w:val="4C8E6164"/>
    <w:lvl w:ilvl="0" w:tplc="ACB2D5A2">
      <w:start w:val="1"/>
      <w:numFmt w:val="bullet"/>
      <w:lvlText w:val="•"/>
      <w:lvlJc w:val="left"/>
      <w:pPr>
        <w:ind w:left="340" w:hanging="340"/>
      </w:pPr>
    </w:lvl>
    <w:lvl w:ilvl="1" w:tplc="68B2E23A">
      <w:numFmt w:val="decimal"/>
      <w:lvlText w:val=""/>
      <w:lvlJc w:val="left"/>
    </w:lvl>
    <w:lvl w:ilvl="2" w:tplc="6416000E">
      <w:numFmt w:val="decimal"/>
      <w:lvlText w:val=""/>
      <w:lvlJc w:val="left"/>
    </w:lvl>
    <w:lvl w:ilvl="3" w:tplc="7312FB2E">
      <w:numFmt w:val="decimal"/>
      <w:lvlText w:val=""/>
      <w:lvlJc w:val="left"/>
    </w:lvl>
    <w:lvl w:ilvl="4" w:tplc="C01A56C8">
      <w:numFmt w:val="decimal"/>
      <w:lvlText w:val=""/>
      <w:lvlJc w:val="left"/>
    </w:lvl>
    <w:lvl w:ilvl="5" w:tplc="A03CCF00">
      <w:numFmt w:val="decimal"/>
      <w:lvlText w:val=""/>
      <w:lvlJc w:val="left"/>
    </w:lvl>
    <w:lvl w:ilvl="6" w:tplc="AD065B0E">
      <w:numFmt w:val="decimal"/>
      <w:lvlText w:val=""/>
      <w:lvlJc w:val="left"/>
    </w:lvl>
    <w:lvl w:ilvl="7" w:tplc="A2DA0A1A">
      <w:numFmt w:val="decimal"/>
      <w:lvlText w:val=""/>
      <w:lvlJc w:val="left"/>
    </w:lvl>
    <w:lvl w:ilvl="8" w:tplc="CC4AD5A4">
      <w:numFmt w:val="decimal"/>
      <w:lvlText w:val=""/>
      <w:lvlJc w:val="left"/>
    </w:lvl>
  </w:abstractNum>
  <w:num w:numId="1" w16cid:durableId="276644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CE"/>
    <w:rsid w:val="00004780"/>
    <w:rsid w:val="00067F89"/>
    <w:rsid w:val="000703A9"/>
    <w:rsid w:val="000D0757"/>
    <w:rsid w:val="00130D3C"/>
    <w:rsid w:val="001E448B"/>
    <w:rsid w:val="00223D66"/>
    <w:rsid w:val="002A57DD"/>
    <w:rsid w:val="002B68B4"/>
    <w:rsid w:val="00405DC3"/>
    <w:rsid w:val="00500DC3"/>
    <w:rsid w:val="005B5FCE"/>
    <w:rsid w:val="0062117B"/>
    <w:rsid w:val="006271DE"/>
    <w:rsid w:val="00703FC8"/>
    <w:rsid w:val="0074113A"/>
    <w:rsid w:val="00763AAF"/>
    <w:rsid w:val="008C5DEA"/>
    <w:rsid w:val="008E6CAF"/>
    <w:rsid w:val="009140B4"/>
    <w:rsid w:val="00987FAC"/>
    <w:rsid w:val="009A7543"/>
    <w:rsid w:val="00A730AB"/>
    <w:rsid w:val="00A97ACA"/>
    <w:rsid w:val="00AC3BB5"/>
    <w:rsid w:val="00C30A59"/>
    <w:rsid w:val="00C34B74"/>
    <w:rsid w:val="00CC4A11"/>
    <w:rsid w:val="00D12779"/>
    <w:rsid w:val="00D22EDE"/>
    <w:rsid w:val="00D81F3F"/>
    <w:rsid w:val="00EA1D28"/>
    <w:rsid w:val="00F311A7"/>
    <w:rsid w:val="00F83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6F81"/>
  <w15:chartTrackingRefBased/>
  <w15:docId w15:val="{CD24F438-6EBA-4923-8522-2CB1DF18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DE"/>
    <w:rPr>
      <w:rFonts w:ascii="Times New Roman" w:hAnsi="Times New Roman"/>
      <w:sz w:val="24"/>
    </w:rPr>
  </w:style>
  <w:style w:type="paragraph" w:styleId="Heading1">
    <w:name w:val="heading 1"/>
    <w:basedOn w:val="Normal"/>
    <w:next w:val="Normal"/>
    <w:link w:val="Heading1Char"/>
    <w:autoRedefine/>
    <w:uiPriority w:val="9"/>
    <w:qFormat/>
    <w:rsid w:val="00C30A59"/>
    <w:pPr>
      <w:keepNext/>
      <w:keepLines/>
      <w:spacing w:before="400" w:after="120" w:line="276" w:lineRule="auto"/>
      <w:outlineLvl w:val="0"/>
    </w:pPr>
    <w:rPr>
      <w:rFonts w:eastAsia="Arial" w:cs="Arial"/>
      <w:b/>
      <w:kern w:val="0"/>
      <w:szCs w:val="40"/>
      <w:lang w:val="en"/>
      <w14:ligatures w14:val="none"/>
    </w:rPr>
  </w:style>
  <w:style w:type="paragraph" w:styleId="Heading2">
    <w:name w:val="heading 2"/>
    <w:basedOn w:val="Normal"/>
    <w:next w:val="Normal"/>
    <w:link w:val="Heading2Char"/>
    <w:autoRedefine/>
    <w:uiPriority w:val="9"/>
    <w:unhideWhenUsed/>
    <w:qFormat/>
    <w:rsid w:val="00C30A59"/>
    <w:pPr>
      <w:keepNext/>
      <w:keepLines/>
      <w:spacing w:before="360" w:after="120" w:line="276" w:lineRule="auto"/>
      <w:outlineLvl w:val="1"/>
    </w:pPr>
    <w:rPr>
      <w:rFonts w:eastAsia="Arial" w:cs="Arial"/>
      <w:b/>
      <w:kern w:val="0"/>
      <w:szCs w:val="32"/>
      <w:lang w:val="en"/>
      <w14:ligatures w14:val="none"/>
    </w:rPr>
  </w:style>
  <w:style w:type="paragraph" w:styleId="Heading3">
    <w:name w:val="heading 3"/>
    <w:basedOn w:val="Normal"/>
    <w:next w:val="Normal"/>
    <w:link w:val="Heading3Char"/>
    <w:autoRedefine/>
    <w:uiPriority w:val="9"/>
    <w:unhideWhenUsed/>
    <w:qFormat/>
    <w:rsid w:val="00C30A59"/>
    <w:pPr>
      <w:keepNext/>
      <w:keepLines/>
      <w:spacing w:before="320" w:after="80" w:line="276" w:lineRule="auto"/>
      <w:outlineLvl w:val="2"/>
    </w:pPr>
    <w:rPr>
      <w:rFonts w:eastAsia="Arial" w:cs="Arial"/>
      <w:b/>
      <w:kern w:val="0"/>
      <w:szCs w:val="28"/>
      <w:lang w:val="en"/>
      <w14:ligatures w14:val="none"/>
    </w:rPr>
  </w:style>
  <w:style w:type="paragraph" w:styleId="Heading4">
    <w:name w:val="heading 4"/>
    <w:basedOn w:val="Normal"/>
    <w:next w:val="Normal"/>
    <w:link w:val="Heading4Char"/>
    <w:autoRedefine/>
    <w:uiPriority w:val="9"/>
    <w:unhideWhenUsed/>
    <w:qFormat/>
    <w:rsid w:val="00D12779"/>
    <w:pPr>
      <w:keepNext/>
      <w:keepLines/>
      <w:spacing w:before="40" w:after="0"/>
      <w:outlineLvl w:val="3"/>
    </w:pPr>
    <w:rPr>
      <w:rFonts w:ascii="Arial" w:eastAsiaTheme="majorEastAsia" w:hAnsi="Arial" w:cstheme="majorBidi"/>
      <w:iCs/>
    </w:rPr>
  </w:style>
  <w:style w:type="paragraph" w:styleId="Heading5">
    <w:name w:val="heading 5"/>
    <w:basedOn w:val="Normal"/>
    <w:next w:val="Normal"/>
    <w:link w:val="Heading5Char"/>
    <w:uiPriority w:val="9"/>
    <w:semiHidden/>
    <w:unhideWhenUsed/>
    <w:qFormat/>
    <w:rsid w:val="005B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A59"/>
    <w:rPr>
      <w:rFonts w:ascii="Times New Roman" w:eastAsia="Arial" w:hAnsi="Times New Roman" w:cs="Arial"/>
      <w:b/>
      <w:kern w:val="0"/>
      <w:sz w:val="24"/>
      <w:szCs w:val="32"/>
      <w:lang w:val="en"/>
      <w14:ligatures w14:val="none"/>
    </w:rPr>
  </w:style>
  <w:style w:type="character" w:customStyle="1" w:styleId="Heading1Char">
    <w:name w:val="Heading 1 Char"/>
    <w:basedOn w:val="DefaultParagraphFont"/>
    <w:link w:val="Heading1"/>
    <w:uiPriority w:val="9"/>
    <w:rsid w:val="00C30A59"/>
    <w:rPr>
      <w:rFonts w:ascii="Times New Roman" w:eastAsia="Arial" w:hAnsi="Times New Roman" w:cs="Arial"/>
      <w:b/>
      <w:kern w:val="0"/>
      <w:sz w:val="24"/>
      <w:szCs w:val="40"/>
      <w:lang w:val="en"/>
      <w14:ligatures w14:val="none"/>
    </w:rPr>
  </w:style>
  <w:style w:type="character" w:customStyle="1" w:styleId="Heading3Char">
    <w:name w:val="Heading 3 Char"/>
    <w:basedOn w:val="DefaultParagraphFont"/>
    <w:link w:val="Heading3"/>
    <w:uiPriority w:val="9"/>
    <w:rsid w:val="00C30A59"/>
    <w:rPr>
      <w:rFonts w:ascii="Times New Roman" w:eastAsia="Arial" w:hAnsi="Times New Roman" w:cs="Arial"/>
      <w:b/>
      <w:kern w:val="0"/>
      <w:sz w:val="24"/>
      <w:szCs w:val="28"/>
      <w:lang w:val="en"/>
      <w14:ligatures w14:val="none"/>
    </w:rPr>
  </w:style>
  <w:style w:type="character" w:customStyle="1" w:styleId="Heading4Char">
    <w:name w:val="Heading 4 Char"/>
    <w:basedOn w:val="DefaultParagraphFont"/>
    <w:link w:val="Heading4"/>
    <w:uiPriority w:val="9"/>
    <w:rsid w:val="00D12779"/>
    <w:rPr>
      <w:rFonts w:ascii="Arial" w:eastAsiaTheme="majorEastAsia" w:hAnsi="Arial" w:cstheme="majorBidi"/>
      <w:iCs/>
      <w:sz w:val="24"/>
    </w:rPr>
  </w:style>
  <w:style w:type="character" w:customStyle="1" w:styleId="Heading5Char">
    <w:name w:val="Heading 5 Char"/>
    <w:basedOn w:val="DefaultParagraphFont"/>
    <w:link w:val="Heading5"/>
    <w:uiPriority w:val="9"/>
    <w:semiHidden/>
    <w:rsid w:val="005B5FC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5B5FC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B5FC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B5FC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B5FC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B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FCE"/>
    <w:pPr>
      <w:spacing w:before="160"/>
      <w:jc w:val="center"/>
    </w:pPr>
    <w:rPr>
      <w:i/>
      <w:iCs/>
      <w:color w:val="404040" w:themeColor="text1" w:themeTint="BF"/>
    </w:rPr>
  </w:style>
  <w:style w:type="character" w:customStyle="1" w:styleId="QuoteChar">
    <w:name w:val="Quote Char"/>
    <w:basedOn w:val="DefaultParagraphFont"/>
    <w:link w:val="Quote"/>
    <w:uiPriority w:val="29"/>
    <w:rsid w:val="005B5FCE"/>
    <w:rPr>
      <w:rFonts w:ascii="Times New Roman" w:hAnsi="Times New Roman"/>
      <w:i/>
      <w:iCs/>
      <w:color w:val="404040" w:themeColor="text1" w:themeTint="BF"/>
      <w:sz w:val="24"/>
    </w:rPr>
  </w:style>
  <w:style w:type="paragraph" w:styleId="ListParagraph">
    <w:name w:val="List Paragraph"/>
    <w:basedOn w:val="Normal"/>
    <w:qFormat/>
    <w:rsid w:val="005B5FCE"/>
    <w:pPr>
      <w:ind w:left="720"/>
      <w:contextualSpacing/>
    </w:pPr>
  </w:style>
  <w:style w:type="character" w:styleId="IntenseEmphasis">
    <w:name w:val="Intense Emphasis"/>
    <w:basedOn w:val="DefaultParagraphFont"/>
    <w:uiPriority w:val="21"/>
    <w:qFormat/>
    <w:rsid w:val="005B5FCE"/>
    <w:rPr>
      <w:i/>
      <w:iCs/>
      <w:color w:val="2F5496" w:themeColor="accent1" w:themeShade="BF"/>
    </w:rPr>
  </w:style>
  <w:style w:type="paragraph" w:styleId="IntenseQuote">
    <w:name w:val="Intense Quote"/>
    <w:basedOn w:val="Normal"/>
    <w:next w:val="Normal"/>
    <w:link w:val="IntenseQuoteChar"/>
    <w:uiPriority w:val="30"/>
    <w:qFormat/>
    <w:rsid w:val="005B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FC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B5FCE"/>
    <w:rPr>
      <w:b/>
      <w:bCs/>
      <w:smallCaps/>
      <w:color w:val="2F5496" w:themeColor="accent1" w:themeShade="BF"/>
      <w:spacing w:val="5"/>
    </w:rPr>
  </w:style>
  <w:style w:type="character" w:styleId="Hyperlink">
    <w:name w:val="Hyperlink"/>
    <w:basedOn w:val="DefaultParagraphFont"/>
    <w:uiPriority w:val="99"/>
    <w:unhideWhenUsed/>
    <w:rsid w:val="00D22EDE"/>
    <w:rPr>
      <w:color w:val="0563C1" w:themeColor="hyperlink"/>
      <w:u w:val="single"/>
    </w:rPr>
  </w:style>
  <w:style w:type="character" w:styleId="UnresolvedMention">
    <w:name w:val="Unresolved Mention"/>
    <w:basedOn w:val="DefaultParagraphFont"/>
    <w:uiPriority w:val="99"/>
    <w:semiHidden/>
    <w:unhideWhenUsed/>
    <w:rsid w:val="00D22EDE"/>
    <w:rPr>
      <w:color w:val="605E5C"/>
      <w:shd w:val="clear" w:color="auto" w:fill="E1DFDD"/>
    </w:rPr>
  </w:style>
  <w:style w:type="character" w:styleId="FollowedHyperlink">
    <w:name w:val="FollowedHyperlink"/>
    <w:basedOn w:val="DefaultParagraphFont"/>
    <w:uiPriority w:val="99"/>
    <w:semiHidden/>
    <w:unhideWhenUsed/>
    <w:rsid w:val="00D22E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2/csr.703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3110</Words>
  <Characters>17731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murori</dc:creator>
  <cp:keywords/>
  <dc:description/>
  <cp:lastModifiedBy>patrick murori</cp:lastModifiedBy>
  <cp:revision>5</cp:revision>
  <dcterms:created xsi:type="dcterms:W3CDTF">2026-04-08T21:55:00Z</dcterms:created>
  <dcterms:modified xsi:type="dcterms:W3CDTF">2026-04-08T22:22:00Z</dcterms:modified>
</cp:coreProperties>
</file>