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55862" w14:textId="77777777" w:rsidR="004A1395" w:rsidRDefault="00FD3BAF">
      <w:pPr>
        <w:spacing w:before="6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issage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gramm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</w:p>
    <w:p w14:paraId="715C669D" w14:textId="77777777" w:rsidR="004A1395" w:rsidRDefault="004A1395">
      <w:pPr>
        <w:spacing w:before="4" w:line="100" w:lineRule="exact"/>
        <w:rPr>
          <w:sz w:val="10"/>
          <w:szCs w:val="10"/>
        </w:rPr>
      </w:pPr>
    </w:p>
    <w:p w14:paraId="00D98C07" w14:textId="77777777" w:rsidR="004A1395" w:rsidRDefault="004A1395">
      <w:pPr>
        <w:spacing w:line="200" w:lineRule="exact"/>
      </w:pPr>
    </w:p>
    <w:p w14:paraId="34DD86BD" w14:textId="77777777" w:rsidR="004A1395" w:rsidRDefault="004A1395">
      <w:pPr>
        <w:spacing w:line="200" w:lineRule="exact"/>
      </w:pPr>
    </w:p>
    <w:p w14:paraId="3186E238" w14:textId="77777777" w:rsidR="004A1395" w:rsidRDefault="004A1395">
      <w:pPr>
        <w:spacing w:line="200" w:lineRule="exact"/>
      </w:pPr>
    </w:p>
    <w:p w14:paraId="1EA1505B" w14:textId="77777777" w:rsidR="004A1395" w:rsidRDefault="004A1395">
      <w:pPr>
        <w:spacing w:line="200" w:lineRule="exact"/>
      </w:pPr>
    </w:p>
    <w:p w14:paraId="2D947243" w14:textId="77777777" w:rsidR="004A1395" w:rsidRDefault="004A1395">
      <w:pPr>
        <w:spacing w:line="200" w:lineRule="exact"/>
      </w:pPr>
    </w:p>
    <w:p w14:paraId="32F04334" w14:textId="441B0D25" w:rsidR="004A1395" w:rsidRDefault="00FD3BAF">
      <w:pPr>
        <w:ind w:left="2236" w:right="972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sz w:val="48"/>
          <w:szCs w:val="48"/>
        </w:rPr>
        <w:t>Sp</w:t>
      </w:r>
      <w:r>
        <w:rPr>
          <w:rFonts w:ascii="Calibri" w:eastAsia="Calibri" w:hAnsi="Calibri" w:cs="Calibri"/>
          <w:spacing w:val="1"/>
          <w:sz w:val="48"/>
          <w:szCs w:val="48"/>
        </w:rPr>
        <w:t>é</w:t>
      </w:r>
      <w:r>
        <w:rPr>
          <w:rFonts w:ascii="Calibri" w:eastAsia="Calibri" w:hAnsi="Calibri" w:cs="Calibri"/>
          <w:sz w:val="48"/>
          <w:szCs w:val="48"/>
        </w:rPr>
        <w:t>cifications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du </w:t>
      </w:r>
      <w:proofErr w:type="spellStart"/>
      <w:r>
        <w:rPr>
          <w:rFonts w:ascii="Calibri" w:eastAsia="Calibri" w:hAnsi="Calibri" w:cs="Calibri"/>
          <w:sz w:val="48"/>
          <w:szCs w:val="48"/>
        </w:rPr>
        <w:t>com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ant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6</w:t>
      </w:r>
    </w:p>
    <w:p w14:paraId="464EEF54" w14:textId="264C0ADC" w:rsidR="004A1395" w:rsidRDefault="00FD3BAF">
      <w:pPr>
        <w:spacing w:line="580" w:lineRule="exact"/>
        <w:ind w:left="2850" w:right="1584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position w:val="1"/>
          <w:sz w:val="48"/>
          <w:szCs w:val="48"/>
        </w:rPr>
        <w:t>Construct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3"/>
          <w:position w:val="1"/>
          <w:sz w:val="48"/>
          <w:szCs w:val="48"/>
        </w:rPr>
        <w:t>u</w:t>
      </w:r>
      <w:r>
        <w:rPr>
          <w:rFonts w:ascii="Calibri" w:eastAsia="Calibri" w:hAnsi="Calibri" w:cs="Calibri"/>
          <w:position w:val="1"/>
          <w:sz w:val="48"/>
          <w:szCs w:val="48"/>
        </w:rPr>
        <w:t>r</w:t>
      </w:r>
      <w:proofErr w:type="spellEnd"/>
      <w:r>
        <w:rPr>
          <w:rFonts w:ascii="Calibri" w:eastAsia="Calibri" w:hAnsi="Calibri" w:cs="Calibri"/>
          <w:position w:val="1"/>
          <w:sz w:val="48"/>
          <w:szCs w:val="48"/>
        </w:rPr>
        <w:t xml:space="preserve"> de </w:t>
      </w:r>
      <w:proofErr w:type="spellStart"/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c</w:t>
      </w:r>
      <w:r>
        <w:rPr>
          <w:rFonts w:ascii="Calibri" w:eastAsia="Calibri" w:hAnsi="Calibri" w:cs="Calibri"/>
          <w:position w:val="1"/>
          <w:sz w:val="48"/>
          <w:szCs w:val="48"/>
        </w:rPr>
        <w:t>he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m</w:t>
      </w:r>
      <w:r>
        <w:rPr>
          <w:rFonts w:ascii="Calibri" w:eastAsia="Calibri" w:hAnsi="Calibri" w:cs="Calibri"/>
          <w:position w:val="1"/>
          <w:sz w:val="48"/>
          <w:szCs w:val="48"/>
        </w:rPr>
        <w:t>in</w:t>
      </w:r>
      <w:proofErr w:type="spellEnd"/>
    </w:p>
    <w:p w14:paraId="5D404C02" w14:textId="0A8F229E" w:rsidR="004A1395" w:rsidRDefault="004A1395">
      <w:pPr>
        <w:spacing w:before="3" w:line="180" w:lineRule="exact"/>
        <w:rPr>
          <w:sz w:val="18"/>
          <w:szCs w:val="18"/>
        </w:rPr>
      </w:pPr>
    </w:p>
    <w:p w14:paraId="06B0CCD6" w14:textId="310D0177" w:rsidR="004A1395" w:rsidRDefault="004A1395">
      <w:pPr>
        <w:spacing w:line="200" w:lineRule="exact"/>
      </w:pPr>
    </w:p>
    <w:p w14:paraId="47AED4A1" w14:textId="7EA31C3A" w:rsidR="004A1395" w:rsidRDefault="004A1395" w:rsidP="005C3549">
      <w:pPr>
        <w:spacing w:line="200" w:lineRule="exact"/>
      </w:pPr>
    </w:p>
    <w:p w14:paraId="192008BF" w14:textId="5FE0EDAB" w:rsidR="004A1395" w:rsidRDefault="00FD3BAF" w:rsidP="005C3549">
      <w:pPr>
        <w:ind w:left="2102" w:right="6146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4</w:t>
      </w:r>
    </w:p>
    <w:p w14:paraId="7CFC3C35" w14:textId="702D455D" w:rsidR="004A1395" w:rsidRDefault="00FD3BAF" w:rsidP="005C3549">
      <w:pPr>
        <w:spacing w:before="9" w:line="244" w:lineRule="auto"/>
        <w:ind w:left="1881" w:right="5924" w:hanging="2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agali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La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ARY </w:t>
      </w:r>
      <w:proofErr w:type="spellStart"/>
      <w:r>
        <w:rPr>
          <w:rFonts w:ascii="Calibri" w:eastAsia="Calibri" w:hAnsi="Calibri" w:cs="Calibri"/>
          <w:sz w:val="24"/>
          <w:szCs w:val="24"/>
        </w:rPr>
        <w:t>Rémy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</w:t>
      </w:r>
    </w:p>
    <w:p w14:paraId="739EBFA0" w14:textId="77777777" w:rsidR="004A1395" w:rsidRDefault="004A1395">
      <w:pPr>
        <w:spacing w:line="200" w:lineRule="exact"/>
      </w:pPr>
    </w:p>
    <w:p w14:paraId="2C2A5F6D" w14:textId="77777777" w:rsidR="004A1395" w:rsidRDefault="004A1395">
      <w:pPr>
        <w:spacing w:line="200" w:lineRule="exact"/>
      </w:pPr>
    </w:p>
    <w:p w14:paraId="709BADA3" w14:textId="77777777" w:rsidR="004A1395" w:rsidRDefault="004A1395">
      <w:pPr>
        <w:spacing w:line="200" w:lineRule="exact"/>
      </w:pPr>
    </w:p>
    <w:p w14:paraId="1F614CA3" w14:textId="77777777" w:rsidR="004A1395" w:rsidRDefault="004A1395">
      <w:pPr>
        <w:spacing w:line="200" w:lineRule="exact"/>
      </w:pPr>
    </w:p>
    <w:p w14:paraId="72C5DDF5" w14:textId="77777777" w:rsidR="004A1395" w:rsidRDefault="004A1395">
      <w:pPr>
        <w:spacing w:line="200" w:lineRule="exact"/>
      </w:pPr>
    </w:p>
    <w:p w14:paraId="2BE0EA8E" w14:textId="77777777" w:rsidR="004A1395" w:rsidRDefault="004A1395">
      <w:pPr>
        <w:spacing w:line="200" w:lineRule="exact"/>
      </w:pPr>
    </w:p>
    <w:p w14:paraId="6E930873" w14:textId="77777777" w:rsidR="004A1395" w:rsidRDefault="004A1395">
      <w:pPr>
        <w:spacing w:before="1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981"/>
        <w:gridCol w:w="1800"/>
        <w:gridCol w:w="3889"/>
      </w:tblGrid>
      <w:tr w:rsidR="004A1395" w14:paraId="40AE8506" w14:textId="77777777">
        <w:trPr>
          <w:trHeight w:hRule="exact" w:val="595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80CD4" w14:textId="77777777" w:rsidR="004A1395" w:rsidRDefault="00FD3BAF">
            <w:pPr>
              <w:spacing w:line="280" w:lineRule="exact"/>
              <w:ind w:left="179" w:right="1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sion</w:t>
            </w:r>
          </w:p>
          <w:p w14:paraId="44D0EDF8" w14:textId="77777777" w:rsidR="004A1395" w:rsidRDefault="00FD3BAF">
            <w:pPr>
              <w:spacing w:line="280" w:lineRule="exact"/>
              <w:ind w:left="372" w:right="3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oc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60B7A" w14:textId="77777777" w:rsidR="004A1395" w:rsidRDefault="00FD3BAF">
            <w:pPr>
              <w:spacing w:line="280" w:lineRule="exact"/>
              <w:ind w:left="715" w:right="7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30CA2" w14:textId="77777777" w:rsidR="004A1395" w:rsidRDefault="00FD3BAF">
            <w:pPr>
              <w:spacing w:line="280" w:lineRule="exact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r(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)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85700" w14:textId="77777777" w:rsidR="004A1395" w:rsidRDefault="00FD3BAF">
            <w:pPr>
              <w:spacing w:line="280" w:lineRule="exact"/>
              <w:ind w:left="12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</w:tc>
      </w:tr>
      <w:tr w:rsidR="004A1395" w14:paraId="28236D14" w14:textId="77777777">
        <w:trPr>
          <w:trHeight w:hRule="exact" w:val="74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2203C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1.0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B443C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21/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5929B" w14:textId="77777777" w:rsidR="004A1395" w:rsidRPr="00F6344B" w:rsidRDefault="00FD3BAF" w:rsidP="00F6344B">
            <w:pPr>
              <w:spacing w:line="240" w:lineRule="exact"/>
              <w:ind w:left="434" w:right="436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Mag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li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BIT</w:t>
            </w:r>
          </w:p>
          <w:p w14:paraId="5F1628DC" w14:textId="77777777" w:rsidR="004A1395" w:rsidRPr="00F6344B" w:rsidRDefault="00FD3BAF" w:rsidP="00F6344B">
            <w:pPr>
              <w:ind w:left="293" w:right="297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u</w:t>
            </w:r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 xml:space="preserve">MARY </w:t>
            </w:r>
            <w:proofErr w:type="spellStart"/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ém</w:t>
            </w:r>
            <w:r w:rsidRPr="00F6344B">
              <w:rPr>
                <w:rFonts w:asciiTheme="minorHAnsi" w:eastAsia="Calibri" w:hAnsiTheme="minorHAnsi" w:cs="Calibri"/>
              </w:rPr>
              <w:t>y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>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A76FB" w14:textId="77777777" w:rsidR="004A1395" w:rsidRPr="00F6344B" w:rsidRDefault="00FD3BAF" w:rsidP="00F6344B">
            <w:pPr>
              <w:spacing w:line="240" w:lineRule="exact"/>
              <w:ind w:left="1296" w:right="129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V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ion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iti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le</w:t>
            </w:r>
            <w:proofErr w:type="spellEnd"/>
          </w:p>
        </w:tc>
      </w:tr>
      <w:tr w:rsidR="004A1395" w14:paraId="1C16C7D2" w14:textId="77777777" w:rsidTr="00F6344B">
        <w:trPr>
          <w:trHeight w:hRule="exact" w:val="52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C4F56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1.1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C837D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14/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3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D25F5" w14:textId="77777777" w:rsidR="004A1395" w:rsidRPr="00F6344B" w:rsidRDefault="00FD3BAF" w:rsidP="00F6344B">
            <w:pPr>
              <w:spacing w:line="240" w:lineRule="exact"/>
              <w:ind w:left="31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5EFCA" w14:textId="77777777" w:rsidR="004A1395" w:rsidRPr="00F6344B" w:rsidRDefault="00FD3BAF" w:rsidP="00F6344B">
            <w:pPr>
              <w:spacing w:line="240" w:lineRule="exact"/>
              <w:ind w:left="173" w:right="175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Pré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l’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h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aî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ne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en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1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app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ls</w:t>
            </w:r>
            <w:proofErr w:type="spellEnd"/>
          </w:p>
          <w:p w14:paraId="6D5CCC4E" w14:textId="77777777" w:rsidR="004A1395" w:rsidRPr="00F6344B" w:rsidRDefault="004A1395" w:rsidP="00F6344B">
            <w:pPr>
              <w:spacing w:before="1"/>
              <w:ind w:left="175" w:right="181"/>
              <w:jc w:val="center"/>
              <w:rPr>
                <w:rFonts w:asciiTheme="minorHAnsi" w:eastAsia="Calibri" w:hAnsiTheme="minorHAnsi" w:cs="Calibri"/>
              </w:rPr>
            </w:pPr>
          </w:p>
        </w:tc>
      </w:tr>
      <w:tr w:rsidR="004A1395" w14:paraId="0708D21D" w14:textId="77777777" w:rsidTr="00F6344B">
        <w:trPr>
          <w:trHeight w:hRule="exact" w:val="1087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C83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1.2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EF81D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04/04/2015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14D85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Magali</w:t>
            </w:r>
            <w:proofErr w:type="spellEnd"/>
            <w:r w:rsidRPr="00F6344B">
              <w:rPr>
                <w:rFonts w:asciiTheme="minorHAnsi" w:hAnsiTheme="minorHAnsi"/>
              </w:rPr>
              <w:t xml:space="preserve"> BIT</w:t>
            </w:r>
          </w:p>
          <w:p w14:paraId="5FE7D11D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Laurent MARY</w:t>
            </w:r>
          </w:p>
          <w:p w14:paraId="5B4E31A8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Rémy</w:t>
            </w:r>
            <w:proofErr w:type="spellEnd"/>
            <w:r w:rsidRPr="00F6344B">
              <w:rPr>
                <w:rFonts w:asciiTheme="minorHAnsi" w:hAnsiTheme="minorHAnsi"/>
              </w:rPr>
              <w:t xml:space="preserve"> 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3D7FD" w14:textId="77777777" w:rsidR="00F6344B" w:rsidRPr="00F6344B" w:rsidRDefault="00F6344B" w:rsidP="00F6344B">
            <w:pPr>
              <w:spacing w:line="240" w:lineRule="exact"/>
              <w:ind w:left="912" w:right="916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Si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tu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fo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ctio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s</w:t>
            </w:r>
            <w:proofErr w:type="spellEnd"/>
          </w:p>
          <w:p w14:paraId="1711FC93" w14:textId="77777777" w:rsidR="00F6344B" w:rsidRPr="00F6344B" w:rsidRDefault="00F6344B" w:rsidP="00F6344B">
            <w:pPr>
              <w:ind w:left="719" w:right="721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</w:rPr>
              <w:t>Valeurs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6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d</w:t>
            </w:r>
            <w:r w:rsidRPr="00F6344B">
              <w:rPr>
                <w:rFonts w:asciiTheme="minorHAnsi" w:eastAsia="Calibri" w:hAnsiTheme="minorHAnsi" w:cs="Calibri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3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ou</w:t>
            </w:r>
            <w:r w:rsidRPr="00F6344B">
              <w:rPr>
                <w:rFonts w:asciiTheme="minorHAnsi" w:eastAsia="Calibri" w:hAnsiTheme="minorHAnsi" w:cs="Calibri"/>
              </w:rPr>
              <w:t>rs</w:t>
            </w:r>
            <w:r w:rsidRPr="00F6344B">
              <w:rPr>
                <w:rFonts w:asciiTheme="minorHAnsi" w:eastAsia="Calibri" w:hAnsiTheme="minorHAnsi" w:cs="Calibri"/>
                <w:spacing w:val="-7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ndu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s</w:t>
            </w:r>
            <w:proofErr w:type="spellEnd"/>
          </w:p>
          <w:p w14:paraId="281349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eastAsia="Calibri" w:hAnsiTheme="minorHAnsi" w:cs="Calibri"/>
              </w:rPr>
              <w:t>(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-1"/>
              </w:rPr>
              <w:t>f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cti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onn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m</w:t>
            </w:r>
            <w:r w:rsidRPr="00F6344B">
              <w:rPr>
                <w:rFonts w:asciiTheme="minorHAnsi" w:eastAsia="Calibri" w:hAnsiTheme="minorHAnsi" w:cs="Calibri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al</w:t>
            </w:r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2"/>
              </w:rPr>
              <w:t>c</w:t>
            </w:r>
            <w:r w:rsidRPr="00F6344B">
              <w:rPr>
                <w:rFonts w:asciiTheme="minorHAnsi" w:eastAsia="Calibri" w:hAnsiTheme="minorHAnsi" w:cs="Calibri"/>
              </w:rPr>
              <w:t>as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d’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rre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u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w w:val="99"/>
              </w:rPr>
              <w:t>)</w:t>
            </w:r>
          </w:p>
        </w:tc>
      </w:tr>
      <w:tr w:rsidR="004A1395" w14:paraId="02C9F472" w14:textId="77777777" w:rsidTr="007E5541">
        <w:trPr>
          <w:trHeight w:hRule="exact" w:val="757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1460C" w14:textId="04A317DC" w:rsidR="004A1395" w:rsidRDefault="00E06726" w:rsidP="00E06726">
            <w:pPr>
              <w:jc w:val="center"/>
            </w:pPr>
            <w:r>
              <w:t>1.3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93E4F" w14:textId="7FD71275" w:rsidR="004A1395" w:rsidRDefault="00E06726" w:rsidP="00E06726">
            <w:pPr>
              <w:jc w:val="center"/>
            </w:pPr>
            <w:r>
              <w:t>11/04/2015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83199" w14:textId="78EC13E7" w:rsidR="004A1395" w:rsidRDefault="00E06726" w:rsidP="00E06726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71931" w14:textId="77777777" w:rsidR="004A1395" w:rsidRDefault="00E06726" w:rsidP="00E06726">
            <w:pPr>
              <w:jc w:val="center"/>
            </w:pPr>
            <w:r>
              <w:t xml:space="preserve">Petite precision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l’appel</w:t>
            </w:r>
            <w:proofErr w:type="spellEnd"/>
            <w:r>
              <w:t xml:space="preserve"> </w:t>
            </w:r>
            <w:proofErr w:type="spellStart"/>
            <w:r>
              <w:t>vers</w:t>
            </w:r>
            <w:proofErr w:type="spellEnd"/>
            <w:r>
              <w:t xml:space="preserve"> le GNA </w:t>
            </w:r>
            <w:proofErr w:type="spellStart"/>
            <w:r w:rsidR="00EB3BCA">
              <w:t>G</w:t>
            </w:r>
            <w:r>
              <w:t>aussien</w:t>
            </w:r>
            <w:proofErr w:type="spellEnd"/>
          </w:p>
          <w:p w14:paraId="699E577F" w14:textId="0522AD04" w:rsidR="007E5541" w:rsidRDefault="007E5541" w:rsidP="00E06726">
            <w:pPr>
              <w:jc w:val="center"/>
            </w:pPr>
            <w:proofErr w:type="spellStart"/>
            <w:r>
              <w:t>Ajout</w:t>
            </w:r>
            <w:proofErr w:type="spellEnd"/>
            <w:r>
              <w:t xml:space="preserve"> de headers de </w:t>
            </w:r>
            <w:proofErr w:type="spellStart"/>
            <w:r>
              <w:t>fonctions</w:t>
            </w:r>
            <w:proofErr w:type="spellEnd"/>
            <w:r>
              <w:t xml:space="preserve"> à des fins de test</w:t>
            </w:r>
          </w:p>
          <w:p w14:paraId="05936658" w14:textId="51E3D352" w:rsidR="007E5541" w:rsidRDefault="007E5541" w:rsidP="00E06726">
            <w:pPr>
              <w:jc w:val="center"/>
            </w:pPr>
          </w:p>
        </w:tc>
      </w:tr>
      <w:tr w:rsidR="004A1395" w14:paraId="5B87A43C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36EEA" w14:textId="77777777" w:rsidR="004A1395" w:rsidRDefault="004A1395" w:rsidP="007E5541">
            <w:pPr>
              <w:jc w:val="center"/>
            </w:pP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2D503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2A1F2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B69D3" w14:textId="77777777" w:rsidR="004A1395" w:rsidRDefault="004A1395"/>
        </w:tc>
      </w:tr>
      <w:tr w:rsidR="004A1395" w14:paraId="1D6F3A47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470CD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874F7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BF162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82BA4" w14:textId="77777777" w:rsidR="004A1395" w:rsidRDefault="004A1395"/>
        </w:tc>
      </w:tr>
      <w:tr w:rsidR="004A1395" w14:paraId="611BD22C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B6778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D50D7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337AD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BAD14" w14:textId="77777777" w:rsidR="004A1395" w:rsidRDefault="004A1395"/>
        </w:tc>
      </w:tr>
      <w:tr w:rsidR="004A1395" w14:paraId="15BE5F54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AD035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23C26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A4ECD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DF5DF" w14:textId="77777777" w:rsidR="004A1395" w:rsidRDefault="004A1395"/>
        </w:tc>
      </w:tr>
      <w:tr w:rsidR="004A1395" w14:paraId="3C6C6B62" w14:textId="77777777" w:rsidTr="00F6344B">
        <w:trPr>
          <w:trHeight w:hRule="exact" w:val="28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BE1F9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8D9BC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5D7B1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06556" w14:textId="77777777" w:rsidR="004A1395" w:rsidRDefault="004A1395"/>
        </w:tc>
      </w:tr>
    </w:tbl>
    <w:p w14:paraId="266071F5" w14:textId="77777777" w:rsidR="004A1395" w:rsidRDefault="004A1395">
      <w:pPr>
        <w:sectPr w:rsidR="004A1395">
          <w:pgSz w:w="11920" w:h="16840"/>
          <w:pgMar w:top="1360" w:right="1680" w:bottom="280" w:left="980" w:header="720" w:footer="720" w:gutter="0"/>
          <w:cols w:space="720"/>
        </w:sectPr>
      </w:pPr>
    </w:p>
    <w:p w14:paraId="2FAAF3AC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lastRenderedPageBreak/>
        <w:t xml:space="preserve">1. Contexte </w:t>
      </w:r>
    </w:p>
    <w:p w14:paraId="4C52D604" w14:textId="77777777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L’objectif de cette spécification est de décrire les fonctionnalités et le comportement attendu d’un composant n°6 « Constructeur de chemin » qui sera compilé sous forme d’une DLL et qui sera utilisé dans le cadre d’une application permettant 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pricing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d’options (européennes, américaines ou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bermudéennes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). </w:t>
      </w:r>
    </w:p>
    <w:p w14:paraId="20E92AB3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2. Objectif du composant </w:t>
      </w:r>
    </w:p>
    <w:p w14:paraId="2C17E74D" w14:textId="2BD1BC4C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devra être cap</w:t>
      </w:r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able à partir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 et de la maturité T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de fournir un vecteur de taille </w:t>
      </w:r>
      <w:r w:rsidR="00025265" w:rsidRPr="00025265">
        <w:rPr>
          <w:rFonts w:asciiTheme="minorHAnsi" w:hAnsiTheme="minorHAnsi" w:cs="Times"/>
          <w:i/>
          <w:sz w:val="24"/>
          <w:szCs w:val="24"/>
          <w:lang w:val="fr-FR"/>
        </w:rPr>
        <w:t>size</w:t>
      </w:r>
      <w:r w:rsidR="0031407F">
        <w:rPr>
          <w:rFonts w:asciiTheme="minorHAnsi" w:hAnsiTheme="minorHAnsi" w:cs="Times"/>
          <w:sz w:val="24"/>
          <w:szCs w:val="24"/>
          <w:lang w:val="fr-FR"/>
        </w:rPr>
        <w:t xml:space="preserve"> (vecteur allant de 0 à T-1</w:t>
      </w:r>
      <w:r w:rsidR="00025265">
        <w:rPr>
          <w:rFonts w:asciiTheme="minorHAnsi" w:hAnsiTheme="minorHAnsi" w:cs="Cambria Math"/>
          <w:sz w:val="24"/>
          <w:szCs w:val="24"/>
          <w:lang w:val="fr-FR"/>
        </w:rPr>
        <w:t>)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correspondant à la valeur estimée de l’actif sous-jacent pour chaque jour de cotation. </w:t>
      </w:r>
    </w:p>
    <w:p w14:paraId="2C113962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3. Fonctionnement </w:t>
      </w:r>
    </w:p>
    <w:p w14:paraId="2BD33839" w14:textId="53813014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255FA6"/>
          <w:sz w:val="34"/>
          <w:szCs w:val="3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>a. Enchaînement des appels</w:t>
      </w:r>
    </w:p>
    <w:p w14:paraId="49DD0555" w14:textId="09A1F6F7" w:rsidR="00044EC3" w:rsidRPr="00044EC3" w:rsidRDefault="00044EC3" w:rsidP="00044EC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="Times" w:hAnsi="Times" w:cs="Times"/>
          <w:noProof/>
          <w:sz w:val="24"/>
          <w:szCs w:val="24"/>
          <w:lang w:val="fr-FR" w:eastAsia="fr-FR"/>
        </w:rPr>
        <w:drawing>
          <wp:inline distT="0" distB="0" distL="0" distR="0" wp14:anchorId="466C754E" wp14:editId="0C67EAA8">
            <wp:extent cx="5486400" cy="26403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EC3">
        <w:rPr>
          <w:rFonts w:ascii="Times" w:hAnsi="Times" w:cs="Times"/>
          <w:sz w:val="24"/>
          <w:szCs w:val="24"/>
          <w:lang w:val="fr-FR"/>
        </w:rPr>
        <w:t xml:space="preserve"> </w:t>
      </w:r>
    </w:p>
    <w:p w14:paraId="56C6AD32" w14:textId="77777777" w:rsidR="00044EC3" w:rsidRDefault="00044EC3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</w:p>
    <w:p w14:paraId="6120B174" w14:textId="053F5F1C" w:rsidR="00FD3BAF" w:rsidRPr="00044EC3" w:rsidRDefault="00044EC3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 xml:space="preserve">1.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est appelé par le composant « Boucle de Monte Carlo », ce dernier lui fournit en paramè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tre la valeur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et la maturité </w:t>
      </w:r>
      <w:r w:rsidR="00BF31C0">
        <w:rPr>
          <w:rFonts w:ascii="STIXGeneral-Italic" w:hAnsi="STIXGeneral-Italic" w:cs="STIXGeneral-Italic"/>
          <w:sz w:val="24"/>
          <w:szCs w:val="24"/>
          <w:lang w:val="fr-FR"/>
        </w:rPr>
        <w:t xml:space="preserve">T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attendue (par défaut 504 jours = 252 jours annuels de cotation * 2 ans) </w:t>
      </w:r>
    </w:p>
    <w:p w14:paraId="3E44ABAC" w14:textId="1D3403BF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2. Le « Constructeur de chemin »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 commence par initialiser le GNA Gaussien en appelant la fonction </w:t>
      </w:r>
      <w:proofErr w:type="spellStart"/>
      <w:proofErr w:type="gramStart"/>
      <w:r w:rsidR="00BF31C0">
        <w:rPr>
          <w:rFonts w:asciiTheme="minorHAnsi" w:hAnsiTheme="minorHAnsi" w:cs="Times"/>
          <w:sz w:val="24"/>
          <w:szCs w:val="24"/>
          <w:lang w:val="fr-FR"/>
        </w:rPr>
        <w:t>initialize</w:t>
      </w:r>
      <w:proofErr w:type="spellEnd"/>
      <w:r w:rsidR="00BF31C0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="00BF31C0">
        <w:rPr>
          <w:rFonts w:asciiTheme="minorHAnsi" w:hAnsiTheme="minorHAnsi" w:cs="Times"/>
          <w:sz w:val="24"/>
          <w:szCs w:val="24"/>
          <w:lang w:val="fr-FR"/>
        </w:rPr>
        <w:t>)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appelle le « GNA Gaussien » avec la fonction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nor</w:t>
      </w:r>
      <w:r w:rsidR="00302D46">
        <w:rPr>
          <w:rFonts w:asciiTheme="minorHAnsi" w:hAnsiTheme="minorHAnsi" w:cs="Times"/>
          <w:sz w:val="24"/>
          <w:szCs w:val="24"/>
          <w:lang w:val="fr-FR"/>
        </w:rPr>
        <w:t>malRandom</w:t>
      </w:r>
      <w:proofErr w:type="spellEnd"/>
      <w:r w:rsidR="00302D46">
        <w:rPr>
          <w:rFonts w:asciiTheme="minorHAnsi" w:hAnsiTheme="minorHAnsi" w:cs="Times"/>
          <w:sz w:val="24"/>
          <w:szCs w:val="24"/>
          <w:lang w:val="fr-FR"/>
        </w:rPr>
        <w:t>(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 ; </w:t>
      </w:r>
      <w:r w:rsidR="00E5295D" w:rsidRPr="00044EC3">
        <w:rPr>
          <w:rFonts w:asciiTheme="minorHAnsi" w:hAnsiTheme="minorHAnsi" w:cs="Times"/>
          <w:sz w:val="24"/>
          <w:szCs w:val="24"/>
          <w:u w:val="single"/>
          <w:lang w:val="fr-FR"/>
        </w:rPr>
        <w:t>Cet appel sera répété autant de fois qu’il y a de jours de cotations soit T</w:t>
      </w:r>
      <w:r w:rsidR="00E5295D">
        <w:rPr>
          <w:rFonts w:asciiTheme="minorHAnsi" w:hAnsiTheme="minorHAnsi" w:cs="Times"/>
          <w:sz w:val="24"/>
          <w:szCs w:val="24"/>
          <w:u w:val="single"/>
          <w:lang w:val="fr-FR"/>
        </w:rPr>
        <w:t xml:space="preserve"> (=504)</w:t>
      </w:r>
      <w:r w:rsidR="00E5295D" w:rsidRPr="00044EC3">
        <w:rPr>
          <w:rFonts w:asciiTheme="minorHAnsi" w:hAnsiTheme="minorHAnsi" w:cs="Times"/>
          <w:sz w:val="24"/>
          <w:szCs w:val="24"/>
          <w:u w:val="single"/>
          <w:lang w:val="fr-FR"/>
        </w:rPr>
        <w:t xml:space="preserve"> fois.</w:t>
      </w:r>
    </w:p>
    <w:p w14:paraId="6B7ABAFA" w14:textId="31BB914E" w:rsidR="00FD3BAF" w:rsidRDefault="00FD3BAF" w:rsidP="002E5626">
      <w:pPr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« GNA Gaussien » suite à l’appel précédent l</w:t>
      </w:r>
      <w:r w:rsidR="00BF31C0">
        <w:rPr>
          <w:rFonts w:asciiTheme="minorHAnsi" w:hAnsiTheme="minorHAnsi" w:cs="Times"/>
          <w:sz w:val="24"/>
          <w:szCs w:val="24"/>
          <w:lang w:val="fr-FR"/>
        </w:rPr>
        <w:t>ui</w:t>
      </w:r>
      <w:r w:rsidR="00486CE7">
        <w:rPr>
          <w:rFonts w:asciiTheme="minorHAnsi" w:hAnsiTheme="minorHAnsi" w:cs="Times"/>
          <w:sz w:val="24"/>
          <w:szCs w:val="24"/>
          <w:lang w:val="fr-FR"/>
        </w:rPr>
        <w:t xml:space="preserve"> renvoie une variable</w:t>
      </w:r>
      <w:r w:rsidR="00044EC3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>aléat</w:t>
      </w:r>
      <w:r w:rsidR="00486CE7">
        <w:rPr>
          <w:rFonts w:asciiTheme="minorHAnsi" w:hAnsiTheme="minorHAnsi" w:cs="Times"/>
          <w:sz w:val="24"/>
          <w:szCs w:val="24"/>
          <w:lang w:val="fr-FR"/>
        </w:rPr>
        <w:t>oire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suivant une </w:t>
      </w:r>
      <w:r w:rsidRPr="00044EC3">
        <w:rPr>
          <w:rFonts w:asciiTheme="minorHAnsi" w:hAnsiTheme="minorHAnsi" w:cs="Times"/>
          <w:sz w:val="24"/>
          <w:szCs w:val="24"/>
          <w:lang w:val="fr-FR"/>
        </w:rPr>
        <w:lastRenderedPageBreak/>
        <w:t xml:space="preserve">loi normale gaussienne de moyenne 0 et de variance 1 qu’on nommera </w:t>
      </w:r>
      <m:oMath>
        <m:sSub>
          <m:sSub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 xml:space="preserve"> ∀t∈</m:t>
        </m:r>
        <m:sSup>
          <m:sSup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>∩[0;T-1]</m:t>
        </m:r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T étant la date </w:t>
      </w:r>
      <w:r w:rsidR="00CE07BA">
        <w:rPr>
          <w:rFonts w:asciiTheme="minorHAnsi" w:hAnsiTheme="minorHAnsi" w:cs="Times"/>
          <w:sz w:val="24"/>
          <w:szCs w:val="24"/>
          <w:lang w:val="fr-FR"/>
        </w:rPr>
        <w:t xml:space="preserve">de maturité exprimée en jours (les différentes valeurs sont donc stockées dans un </w:t>
      </w:r>
      <w:proofErr w:type="spellStart"/>
      <w:r w:rsidR="00A37CD8"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 w:rsidR="00A37CD8">
        <w:rPr>
          <w:rFonts w:asciiTheme="minorHAnsi" w:hAnsiTheme="minorHAnsi" w:cs="Times"/>
          <w:sz w:val="24"/>
          <w:szCs w:val="24"/>
          <w:lang w:val="fr-FR"/>
        </w:rPr>
        <w:t>&lt;double&gt; N</w:t>
      </w:r>
      <w:r w:rsidR="00AD1881">
        <w:rPr>
          <w:rFonts w:asciiTheme="minorHAnsi" w:hAnsiTheme="minorHAnsi" w:cs="Times"/>
          <w:sz w:val="24"/>
          <w:szCs w:val="24"/>
          <w:lang w:val="fr-FR"/>
        </w:rPr>
        <w:t xml:space="preserve"> de taille T=</w:t>
      </w:r>
      <w:r w:rsidR="00CE07BA">
        <w:rPr>
          <w:rFonts w:asciiTheme="minorHAnsi" w:hAnsiTheme="minorHAnsi" w:cs="Times"/>
          <w:sz w:val="24"/>
          <w:szCs w:val="24"/>
          <w:lang w:val="fr-FR"/>
        </w:rPr>
        <w:t>504).</w:t>
      </w:r>
    </w:p>
    <w:p w14:paraId="195C9B32" w14:textId="77777777" w:rsidR="00044EC3" w:rsidRPr="00044EC3" w:rsidRDefault="00044EC3" w:rsidP="002E562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2B2AA476" w14:textId="4DE857F5" w:rsidR="00FD3BAF" w:rsidRPr="00044EC3" w:rsidRDefault="00FD3BAF" w:rsidP="002E56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</w:t>
      </w:r>
      <w:bookmarkStart w:id="0" w:name="_GoBack"/>
      <w:bookmarkEnd w:id="0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de chemin » interroge le composant « Volatilité et interpolateur » par le biais de la fonction double </w:t>
      </w:r>
      <w:proofErr w:type="spellStart"/>
      <w:proofErr w:type="gramStart"/>
      <w:r w:rsidRPr="00044EC3">
        <w:rPr>
          <w:rFonts w:asciiTheme="minorHAnsi" w:hAnsiTheme="minorHAnsi" w:cs="Times"/>
          <w:sz w:val="24"/>
          <w:szCs w:val="24"/>
          <w:lang w:val="fr-FR"/>
        </w:rPr>
        <w:t>getLocalVol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,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maturity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), il lui 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fournit en paramètre le </w:t>
      </w:r>
      <w:proofErr w:type="spellStart"/>
      <w:r w:rsidR="00BF31C0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  <m:r>
          <w:rPr>
            <w:rFonts w:ascii="Cambria Math" w:hAnsi="Cambria Math" w:cs="Times"/>
            <w:sz w:val="24"/>
            <w:szCs w:val="24"/>
            <w:lang w:val="fr-FR"/>
          </w:rPr>
          <m:t>/100</m:t>
        </m:r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et la maturité </w:t>
      </w:r>
      <w:r w:rsidR="00A558AC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  <w:r w:rsidRPr="00044EC3">
        <w:rPr>
          <w:rFonts w:asciiTheme="minorHAnsi" w:hAnsiTheme="minorHAnsi" w:cs="Times"/>
          <w:sz w:val="24"/>
          <w:szCs w:val="24"/>
          <w:u w:val="single"/>
          <w:lang w:val="fr-FR"/>
        </w:rPr>
        <w:t>Cet appel sera répété autant de fois qu’il y a de jours de cotations soit T</w:t>
      </w:r>
      <w:r w:rsidR="00E5295D">
        <w:rPr>
          <w:rFonts w:asciiTheme="minorHAnsi" w:hAnsiTheme="minorHAnsi" w:cs="Times"/>
          <w:sz w:val="24"/>
          <w:szCs w:val="24"/>
          <w:u w:val="single"/>
          <w:lang w:val="fr-FR"/>
        </w:rPr>
        <w:t xml:space="preserve"> (=504)</w:t>
      </w:r>
      <w:r w:rsidRPr="00044EC3">
        <w:rPr>
          <w:rFonts w:asciiTheme="minorHAnsi" w:hAnsiTheme="minorHAnsi" w:cs="Times"/>
          <w:sz w:val="24"/>
          <w:szCs w:val="24"/>
          <w:u w:val="single"/>
          <w:lang w:val="fr-FR"/>
        </w:rPr>
        <w:t xml:space="preserve"> fois.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</w:t>
      </w:r>
    </w:p>
    <w:p w14:paraId="1DF41B0F" w14:textId="254A1047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</w:t>
      </w:r>
      <w:r w:rsidR="007425C3">
        <w:rPr>
          <w:rFonts w:asciiTheme="minorHAnsi" w:hAnsiTheme="minorHAnsi" w:cs="Times"/>
          <w:sz w:val="24"/>
          <w:szCs w:val="24"/>
          <w:lang w:val="fr-FR"/>
        </w:rPr>
        <w:t xml:space="preserve">» récupère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en </w:t>
      </w:r>
      <w:r w:rsidR="007425C3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7E29EC">
        <w:rPr>
          <w:rFonts w:asciiTheme="minorHAnsi" w:hAnsiTheme="minorHAnsi" w:cs="Times"/>
          <w:sz w:val="24"/>
          <w:szCs w:val="24"/>
          <w:lang w:val="fr-FR"/>
        </w:rPr>
        <w:t>(t désignant le temps courant)</w:t>
      </w:r>
      <w:r w:rsidR="008934DC">
        <w:rPr>
          <w:rFonts w:asciiTheme="minorHAnsi" w:hAnsiTheme="minorHAnsi" w:cs="Times"/>
          <w:sz w:val="24"/>
          <w:szCs w:val="24"/>
          <w:lang w:val="fr-FR"/>
        </w:rPr>
        <w:t xml:space="preserve"> et la stocke dans un </w:t>
      </w:r>
      <w:proofErr w:type="spellStart"/>
      <w:r w:rsidR="00A37CD8"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 w:rsidR="00A37CD8">
        <w:rPr>
          <w:rFonts w:asciiTheme="minorHAnsi" w:hAnsiTheme="minorHAnsi" w:cs="Times"/>
          <w:sz w:val="24"/>
          <w:szCs w:val="24"/>
          <w:lang w:val="fr-FR"/>
        </w:rPr>
        <w:t>&lt;</w:t>
      </w:r>
      <w:r w:rsidR="008934DC">
        <w:rPr>
          <w:rFonts w:asciiTheme="minorHAnsi" w:hAnsiTheme="minorHAnsi" w:cs="Times"/>
          <w:sz w:val="24"/>
          <w:szCs w:val="24"/>
          <w:lang w:val="fr-FR"/>
        </w:rPr>
        <w:t>double</w:t>
      </w:r>
      <w:r w:rsidR="00A37CD8">
        <w:rPr>
          <w:rFonts w:asciiTheme="minorHAnsi" w:hAnsiTheme="minorHAnsi" w:cs="Times"/>
          <w:sz w:val="24"/>
          <w:szCs w:val="24"/>
          <w:lang w:val="fr-FR"/>
        </w:rPr>
        <w:t>&gt;</w:t>
      </w:r>
      <w:r w:rsidR="008934DC">
        <w:rPr>
          <w:rFonts w:asciiTheme="minorHAnsi" w:hAnsiTheme="minorHAnsi" w:cs="Times"/>
          <w:sz w:val="24"/>
          <w:szCs w:val="24"/>
          <w:lang w:val="fr-FR"/>
        </w:rPr>
        <w:t xml:space="preserve"> sigma (qui a une taille de T=504).</w:t>
      </w:r>
    </w:p>
    <w:p w14:paraId="38BEE046" w14:textId="3A534382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module « Constructeur de chemin » renvoie au module « Boucle de Monte Carlo » un vecteur contenant les valeurs estimées du sous-jacent pour chaque jour de cotation</w:t>
      </w:r>
      <w:r w:rsidR="002E5626">
        <w:rPr>
          <w:rFonts w:asciiTheme="minorHAnsi" w:hAnsiTheme="minorHAnsi" w:cs="Times"/>
          <w:sz w:val="24"/>
          <w:szCs w:val="24"/>
          <w:lang w:val="fr-FR"/>
        </w:rPr>
        <w:t>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 </w:t>
      </w:r>
    </w:p>
    <w:p w14:paraId="0DAE9E65" w14:textId="1E1E47E8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 xml:space="preserve">a. Calcul de la valeur du sous-jacent en t </w:t>
      </w:r>
    </w:p>
    <w:p w14:paraId="7EFF4EAC" w14:textId="52150144" w:rsidR="00FD3BAF" w:rsidRPr="00044EC3" w:rsidRDefault="007425C3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La valeur du sous-jacent S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>
        <w:rPr>
          <w:rFonts w:asciiTheme="minorHAnsi" w:hAnsiTheme="minorHAnsi" w:cs="Times"/>
          <w:sz w:val="24"/>
          <w:szCs w:val="24"/>
          <w:lang w:val="fr-FR"/>
        </w:rPr>
        <w:t>en t+1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dépend de la valeur calculée sous-jacen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t en t, de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et de la variable </w:t>
      </w:r>
      <w:proofErr w:type="gramStart"/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aléatoire </w:t>
      </w:r>
      <w:proofErr w:type="gramEnd"/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</w:p>
    <w:p w14:paraId="237A0F5A" w14:textId="77777777" w:rsidR="00FD3BAF" w:rsidRPr="00044EC3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La formule permettant de calculer le prix du sous-jacent est la suivante : </w:t>
      </w:r>
    </w:p>
    <w:p w14:paraId="1CABB4B5" w14:textId="48E300D7" w:rsidR="00FD3BAF" w:rsidRPr="00044EC3" w:rsidRDefault="00375D8C" w:rsidP="00044EC3">
      <w:pPr>
        <w:widowControl w:val="0"/>
        <w:autoSpaceDE w:val="0"/>
        <w:autoSpaceDN w:val="0"/>
        <w:adjustRightInd w:val="0"/>
        <w:spacing w:after="240"/>
        <w:jc w:val="center"/>
        <w:rPr>
          <w:rFonts w:asciiTheme="minorHAnsi" w:hAnsiTheme="minorHAnsi" w:cs="Times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 w:cs="STIXGeneral-Italic"/>
              <w:sz w:val="28"/>
              <w:szCs w:val="24"/>
              <w:lang w:val="fr-FR"/>
            </w:rPr>
            <m:t>=S</m:t>
          </m:r>
          <m:r>
            <m:rPr>
              <m:sty m:val="p"/>
            </m:rPr>
            <w:rPr>
              <w:rFonts w:ascii="Cambria Math" w:hAnsi="Cambria Math" w:cs="STIXGeneral-Italic"/>
              <w:position w:val="-6"/>
              <w:sz w:val="28"/>
              <w:szCs w:val="24"/>
              <w:lang w:val="fr-FR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4"/>
              <w:lang w:val="fr-FR"/>
            </w:rPr>
            <m:t>(1+</m:t>
          </m:r>
          <m:f>
            <m:fPr>
              <m:ctrlPr>
                <w:rPr>
                  <w:rFonts w:ascii="Cambria Math" w:hAnsi="Cambria Math" w:cs="STIXGeneral-Italic"/>
                  <w:position w:val="-6"/>
                  <w:sz w:val="28"/>
                  <w:szCs w:val="24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TIXGeneral-Italic"/>
                  <w:sz w:val="32"/>
                  <w:szCs w:val="24"/>
                  <w:lang w:val="fr-FR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cs="STIXGeneral-Italic"/>
                  <w:position w:val="-6"/>
                  <w:sz w:val="32"/>
                  <w:szCs w:val="24"/>
                  <w:lang w:val="fr-FR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TIXGeneral-Italic"/>
                      <w:position w:val="-6"/>
                      <w:sz w:val="28"/>
                      <w:szCs w:val="24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Italic"/>
                      <w:position w:val="-6"/>
                      <w:sz w:val="28"/>
                      <w:szCs w:val="24"/>
                      <w:lang w:val="fr-FR"/>
                    </w:rPr>
                    <m:t>252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STIXGeneral-Italic"/>
              <w:sz w:val="28"/>
              <w:szCs w:val="24"/>
              <w:lang w:val="fr-FR"/>
            </w:rPr>
            <m:t>N</m:t>
          </m:r>
          <m:r>
            <m:rPr>
              <m:sty m:val="p"/>
            </m:rPr>
            <w:rPr>
              <w:rFonts w:ascii="Cambria Math" w:hAnsi="Cambria Math" w:cs="STIXGeneral-Italic"/>
              <w:position w:val="-6"/>
              <w:sz w:val="28"/>
              <w:szCs w:val="24"/>
              <w:lang w:val="fr-FR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4"/>
              <w:lang w:val="fr-FR"/>
            </w:rPr>
            <m:t>)</m:t>
          </m:r>
        </m:oMath>
      </m:oMathPara>
    </w:p>
    <w:p w14:paraId="02404266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La valeur t correspond à fois au temps et à la position dans le vecteur généré.</w:t>
      </w:r>
      <w:r>
        <w:rPr>
          <w:rFonts w:ascii="Times" w:hAnsi="Times" w:cs="Times"/>
          <w:sz w:val="32"/>
          <w:szCs w:val="32"/>
          <w:lang w:val="fr-FR"/>
        </w:rPr>
        <w:t xml:space="preserve"> </w:t>
      </w:r>
    </w:p>
    <w:p w14:paraId="763FF0D5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4. Header </w:t>
      </w:r>
    </w:p>
    <w:p w14:paraId="500D69A9" w14:textId="0A555E42" w:rsidR="00FB71D7" w:rsidRDefault="00FD3BAF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>Ce composant met à disposition une fonction polymorphe permettant d’obtenir un chemin (</w:t>
      </w:r>
      <w:r w:rsidR="00147DEE">
        <w:rPr>
          <w:rFonts w:asciiTheme="minorHAnsi" w:hAnsiTheme="minorHAnsi" w:cs="Times"/>
          <w:sz w:val="24"/>
          <w:szCs w:val="24"/>
          <w:lang w:val="fr-FR"/>
        </w:rPr>
        <w:t>vecteur de « double » de taille T</w:t>
      </w:r>
      <w:r w:rsidRPr="00FD3BAF">
        <w:rPr>
          <w:rFonts w:asciiTheme="minorHAnsi" w:hAnsiTheme="minorHAnsi" w:cs="Cambria Math"/>
          <w:sz w:val="24"/>
          <w:szCs w:val="24"/>
          <w:lang w:val="fr-FR"/>
        </w:rPr>
        <w:t xml:space="preserve"> + 1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, T désignant la maturité) à partir d’un spot de départ et d’une maturité : </w:t>
      </w:r>
    </w:p>
    <w:p w14:paraId="13AD6540" w14:textId="4D8AF731" w:rsidR="00FB71D7" w:rsidRPr="00FB71D7" w:rsidRDefault="00470BC2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b/>
          <w:sz w:val="24"/>
          <w:szCs w:val="24"/>
          <w:lang w:val="fr-FR"/>
        </w:rPr>
      </w:pPr>
      <w:proofErr w:type="spellStart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vector</w:t>
      </w:r>
      <w:proofErr w:type="spellEnd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&lt;Double&gt;</w:t>
      </w:r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 xml:space="preserve"> </w:t>
      </w:r>
      <w:proofErr w:type="spellStart"/>
      <w:proofErr w:type="gramStart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getChemin</w:t>
      </w:r>
      <w:proofErr w:type="spellEnd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(</w:t>
      </w:r>
      <w:proofErr w:type="gramEnd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)</w:t>
      </w:r>
      <w:r w:rsidR="00FB71D7" w:rsidRPr="00FB71D7">
        <w:rPr>
          <w:rFonts w:asciiTheme="minorHAnsi" w:hAnsiTheme="minorHAnsi" w:cs="Times"/>
          <w:b/>
          <w:sz w:val="24"/>
          <w:szCs w:val="24"/>
          <w:lang w:val="fr-FR"/>
        </w:rPr>
        <w:t> </w:t>
      </w:r>
    </w:p>
    <w:p w14:paraId="1462AD97" w14:textId="0AC2E1BA" w:rsidR="00FD3BAF" w:rsidRDefault="00FB3855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Le</w:t>
      </w:r>
      <w:r w:rsidR="00FD3BAF" w:rsidRPr="00AE16EA">
        <w:rPr>
          <w:rFonts w:asciiTheme="minorHAnsi" w:hAnsiTheme="minorHAnsi" w:cs="Times"/>
          <w:sz w:val="24"/>
          <w:szCs w:val="24"/>
          <w:lang w:val="fr-FR"/>
        </w:rPr>
        <w:t xml:space="preserve"> spot de départ vaut 100 et la maturité sera de 504 jours de cotation</w:t>
      </w:r>
      <w:r w:rsidR="00CD69F1">
        <w:rPr>
          <w:rFonts w:asciiTheme="minorHAnsi" w:hAnsiTheme="minorHAnsi" w:cs="Times"/>
          <w:sz w:val="24"/>
          <w:szCs w:val="24"/>
          <w:lang w:val="fr-FR"/>
        </w:rPr>
        <w:t xml:space="preserve"> (le vecteur renvoyé aura donc 505 valeurs</w:t>
      </w:r>
      <w:r w:rsidR="00661F90">
        <w:rPr>
          <w:rFonts w:asciiTheme="minorHAnsi" w:hAnsiTheme="minorHAnsi" w:cs="Times"/>
          <w:sz w:val="24"/>
          <w:szCs w:val="24"/>
          <w:lang w:val="fr-FR"/>
        </w:rPr>
        <w:t>, la première valeur du vecteur étant le spot et la dernière étant la valeur du sous-jacent à maturité</w:t>
      </w:r>
      <w:r w:rsidR="00CD69F1">
        <w:rPr>
          <w:rFonts w:asciiTheme="minorHAnsi" w:hAnsiTheme="minorHAnsi" w:cs="Times"/>
          <w:sz w:val="24"/>
          <w:szCs w:val="24"/>
          <w:lang w:val="fr-FR"/>
        </w:rPr>
        <w:t>).</w:t>
      </w:r>
    </w:p>
    <w:p w14:paraId="062026AA" w14:textId="71770BD1" w:rsidR="00486CE7" w:rsidRDefault="00486CE7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Les fonctions suivantes sont également à implémenter à des fins de test :</w:t>
      </w:r>
    </w:p>
    <w:p w14:paraId="7F0D339A" w14:textId="59E17F27" w:rsidR="00486CE7" w:rsidRDefault="004126B6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proofErr w:type="spellStart"/>
      <w:r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>
        <w:rPr>
          <w:rFonts w:asciiTheme="minorHAnsi" w:hAnsiTheme="minorHAnsi" w:cs="Times"/>
          <w:sz w:val="24"/>
          <w:szCs w:val="24"/>
          <w:lang w:val="fr-FR"/>
        </w:rPr>
        <w:t>&lt;double&gt;</w:t>
      </w:r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proofErr w:type="spellStart"/>
      <w:proofErr w:type="gramStart"/>
      <w:r w:rsidR="007E5541">
        <w:rPr>
          <w:rFonts w:asciiTheme="minorHAnsi" w:hAnsiTheme="minorHAnsi" w:cs="Times"/>
          <w:sz w:val="24"/>
          <w:szCs w:val="24"/>
          <w:lang w:val="fr-FR"/>
        </w:rPr>
        <w:t>getN</w:t>
      </w:r>
      <w:proofErr w:type="spellEnd"/>
      <w:r w:rsidR="007E5541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="007E5541">
        <w:rPr>
          <w:rFonts w:asciiTheme="minorHAnsi" w:hAnsiTheme="minorHAnsi" w:cs="Times"/>
          <w:sz w:val="24"/>
          <w:szCs w:val="24"/>
          <w:lang w:val="fr-FR"/>
        </w:rPr>
        <w:t>) ; // renvoie le tableau N</w:t>
      </w:r>
    </w:p>
    <w:p w14:paraId="04DDAD2F" w14:textId="06722FA0" w:rsidR="007E5541" w:rsidRPr="00AE16EA" w:rsidRDefault="004126B6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proofErr w:type="spellStart"/>
      <w:r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>
        <w:rPr>
          <w:rFonts w:asciiTheme="minorHAnsi" w:hAnsiTheme="minorHAnsi" w:cs="Times"/>
          <w:sz w:val="24"/>
          <w:szCs w:val="24"/>
          <w:lang w:val="fr-FR"/>
        </w:rPr>
        <w:t>&lt;double&gt;</w:t>
      </w:r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proofErr w:type="spellStart"/>
      <w:r w:rsidR="007E5541">
        <w:rPr>
          <w:rFonts w:asciiTheme="minorHAnsi" w:hAnsiTheme="minorHAnsi" w:cs="Times"/>
          <w:sz w:val="24"/>
          <w:szCs w:val="24"/>
          <w:lang w:val="fr-FR"/>
        </w:rPr>
        <w:t>getSigma</w:t>
      </w:r>
      <w:proofErr w:type="spellEnd"/>
      <w:r w:rsidR="007E5541">
        <w:rPr>
          <w:rFonts w:asciiTheme="minorHAnsi" w:hAnsiTheme="minorHAnsi" w:cs="Times"/>
          <w:sz w:val="24"/>
          <w:szCs w:val="24"/>
          <w:lang w:val="fr-FR"/>
        </w:rPr>
        <w:t>() ; // renvoie le tableau sigma</w:t>
      </w:r>
    </w:p>
    <w:p w14:paraId="6D24DD86" w14:textId="77777777" w:rsidR="002E5626" w:rsidRPr="00764D68" w:rsidRDefault="002E5626" w:rsidP="002E5626">
      <w:pPr>
        <w:pStyle w:val="Paragraphedeliste"/>
        <w:widowControl w:val="0"/>
        <w:autoSpaceDE w:val="0"/>
        <w:autoSpaceDN w:val="0"/>
        <w:adjustRightInd w:val="0"/>
        <w:ind w:left="1068"/>
        <w:rPr>
          <w:rFonts w:ascii="Times" w:hAnsi="Times" w:cs="Times"/>
          <w:sz w:val="24"/>
          <w:szCs w:val="24"/>
          <w:lang w:val="fr-FR"/>
        </w:rPr>
      </w:pPr>
    </w:p>
    <w:p w14:paraId="28AA4755" w14:textId="07FC3806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>5. Cas d'erreur</w:t>
      </w:r>
      <w:r w:rsidR="008D411C">
        <w:rPr>
          <w:rFonts w:ascii="Times" w:hAnsi="Times" w:cs="Times"/>
          <w:color w:val="244185"/>
          <w:sz w:val="42"/>
          <w:szCs w:val="42"/>
          <w:lang w:val="fr-FR"/>
        </w:rPr>
        <w:t>s</w:t>
      </w:r>
      <w:r>
        <w:rPr>
          <w:rFonts w:ascii="Times" w:hAnsi="Times" w:cs="Times"/>
          <w:color w:val="244185"/>
          <w:sz w:val="42"/>
          <w:szCs w:val="42"/>
          <w:lang w:val="fr-FR"/>
        </w:rPr>
        <w:t xml:space="preserve"> </w:t>
      </w:r>
    </w:p>
    <w:p w14:paraId="277F5AAD" w14:textId="42E77278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>Dans tous les cas, lorsque le composant rencontre une erreur, il renvoie</w:t>
      </w:r>
      <w:r w:rsidR="00A558AC">
        <w:rPr>
          <w:rFonts w:asciiTheme="minorHAnsi" w:hAnsiTheme="minorHAnsi" w:cs="Times"/>
          <w:sz w:val="24"/>
          <w:szCs w:val="24"/>
          <w:lang w:val="fr-FR"/>
        </w:rPr>
        <w:t xml:space="preserve"> (« </w:t>
      </w:r>
      <w:proofErr w:type="spellStart"/>
      <w:r w:rsidR="00A558AC">
        <w:rPr>
          <w:rFonts w:asciiTheme="minorHAnsi" w:hAnsiTheme="minorHAnsi" w:cs="Times"/>
          <w:sz w:val="24"/>
          <w:szCs w:val="24"/>
          <w:lang w:val="fr-FR"/>
        </w:rPr>
        <w:t>throw</w:t>
      </w:r>
      <w:proofErr w:type="spellEnd"/>
      <w:r w:rsidR="00A558AC">
        <w:rPr>
          <w:rFonts w:asciiTheme="minorHAnsi" w:hAnsiTheme="minorHAnsi" w:cs="Times"/>
          <w:sz w:val="24"/>
          <w:szCs w:val="24"/>
          <w:lang w:val="fr-FR"/>
        </w:rPr>
        <w:t> »)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="00A558AC">
        <w:rPr>
          <w:rFonts w:asciiTheme="minorHAnsi" w:hAnsiTheme="minorHAnsi" w:cs="Times"/>
          <w:sz w:val="24"/>
          <w:szCs w:val="24"/>
          <w:lang w:val="fr-FR"/>
        </w:rPr>
        <w:t xml:space="preserve">une chaine de caractères 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: </w:t>
      </w:r>
    </w:p>
    <w:p w14:paraId="0E8B0481" w14:textId="0F836085" w:rsidR="00FD3BAF" w:rsidRDefault="00FD3BAF" w:rsidP="00FD3BAF">
      <w:pPr>
        <w:pStyle w:val="Lgende"/>
        <w:keepNext/>
      </w:pPr>
      <w:r>
        <w:t xml:space="preserve">Tableau </w:t>
      </w:r>
      <w:fldSimple w:instr=" SEQ Tableau \* ARABIC ">
        <w:r w:rsidR="00375D8C">
          <w:rPr>
            <w:noProof/>
          </w:rPr>
          <w:t>1</w:t>
        </w:r>
      </w:fldSimple>
      <w:r>
        <w:t xml:space="preserve"> </w:t>
      </w:r>
      <w:proofErr w:type="spellStart"/>
      <w:r>
        <w:t>Correspondance</w:t>
      </w:r>
      <w:proofErr w:type="spellEnd"/>
      <w:r>
        <w:t xml:space="preserve"> entre type </w:t>
      </w:r>
      <w:proofErr w:type="spellStart"/>
      <w:r>
        <w:t>d'erreur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renvoyée</w:t>
      </w:r>
      <w:proofErr w:type="spellEnd"/>
    </w:p>
    <w:tbl>
      <w:tblPr>
        <w:tblW w:w="10988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4"/>
        <w:gridCol w:w="5494"/>
      </w:tblGrid>
      <w:tr w:rsidR="00FD3BAF" w14:paraId="39A284B2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4B9E1"/>
              <w:bottom w:val="single" w:sz="16" w:space="0" w:color="7C98D2"/>
              <w:right w:val="single" w:sz="4" w:space="0" w:color="A4B7E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A47123" w14:textId="2F1D0D0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Libellé de l’erreur</w:t>
            </w:r>
          </w:p>
          <w:p w14:paraId="0395093C" w14:textId="0889E5BE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8D3C7F6" wp14:editId="1DEE0F29">
                  <wp:extent cx="21590" cy="2159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" cy="2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4B7E0"/>
              <w:bottom w:val="single" w:sz="16" w:space="0" w:color="7B97D1"/>
              <w:right w:val="single" w:sz="4" w:space="0" w:color="A4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8FFB26" w14:textId="2F4B98E3" w:rsidR="00FD3BAF" w:rsidRPr="00FD3BAF" w:rsidRDefault="00FB71D7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Code d’erreur</w:t>
            </w:r>
          </w:p>
        </w:tc>
      </w:tr>
      <w:tr w:rsidR="00FD3BAF" w14:paraId="638936D4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16" w:space="0" w:color="7C98D2"/>
              <w:left w:val="single" w:sz="4" w:space="0" w:color="A5B9E2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C97ABB" w14:textId="3E1A988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négatif ou nul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non respect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de l’hypothèse log-normale)</w:t>
            </w:r>
          </w:p>
        </w:tc>
        <w:tc>
          <w:tcPr>
            <w:tcW w:w="5494" w:type="dxa"/>
            <w:tcBorders>
              <w:top w:val="single" w:sz="16" w:space="0" w:color="7B97D1"/>
              <w:left w:val="single" w:sz="4" w:space="0" w:color="A5B9E1"/>
              <w:bottom w:val="single" w:sz="4" w:space="0" w:color="A5B9E1"/>
              <w:right w:val="single" w:sz="4" w:space="0" w:color="A5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61827" w14:textId="48860CF1" w:rsidR="00FD3BAF" w:rsidRPr="00FD3BAF" w:rsidRDefault="00FB71D7" w:rsidP="00FB71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spot_neg_null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4DB9E326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958BB" w14:textId="3466DE0A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trop grand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DBF1F" w14:textId="1B1E5DDA" w:rsidR="00FD3BAF" w:rsidRPr="00FD3BAF" w:rsidRDefault="00FB71D7" w:rsidP="00FB71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spot_too_big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550D5905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C0F4E" w14:textId="499D11F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Maturité négative ou nulle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F40FC2" w14:textId="77398AB8" w:rsidR="00FD3BAF" w:rsidRPr="00FD3BAF" w:rsidRDefault="00025265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maturity_neg_null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</w:tc>
      </w:tr>
      <w:tr w:rsidR="00FD3BAF" w14:paraId="38A00F3A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D02F5" w14:textId="601F0843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Taille du vecteur renvoyée par le GNA gaussien incorrecte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0771A9" w14:textId="66940B83" w:rsidR="00FD3BAF" w:rsidRPr="00FD3BAF" w:rsidRDefault="00466EE8" w:rsidP="00466EE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incorrect_vector_size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»</w:t>
            </w:r>
          </w:p>
        </w:tc>
      </w:tr>
      <w:tr w:rsidR="00FD3BAF" w14:paraId="0B3092ED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4EBB3" w14:textId="3364BCA8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Au moins une valeur renvoyée par le GNA gaussien n’est pas comprise entre 0 et 1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833260" w14:textId="7C299FF9" w:rsidR="00FD3BAF" w:rsidRPr="00FD3BAF" w:rsidRDefault="00466EE8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incorrect_vector_value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</w:tc>
      </w:tr>
      <w:tr w:rsidR="00FD3BAF" w14:paraId="235A76B3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13FEC" w14:textId="62450056" w:rsidR="00FD3BAF" w:rsidRPr="00FD3BAF" w:rsidRDefault="00FD3BAF" w:rsidP="00A6672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Le prix </w:t>
            </w:r>
            <m:oMath>
              <m:sSub>
                <m:sSub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4"/>
                      <w:szCs w:val="24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 w:cs="Times"/>
                      <w:sz w:val="24"/>
                      <w:szCs w:val="24"/>
                      <w:lang w:val="fr-FR"/>
                    </w:rPr>
                    <m:t>t</m:t>
                  </m:r>
                </m:sub>
              </m:sSub>
            </m:oMath>
            <w:r w:rsidRPr="00FD3BAF">
              <w:rPr>
                <w:rFonts w:asciiTheme="minorHAnsi" w:hAnsiTheme="minorHAnsi" w:cs="Cambria Math"/>
                <w:position w:val="-6"/>
                <w:sz w:val="24"/>
                <w:szCs w:val="24"/>
                <w:lang w:val="fr-FR"/>
              </w:rPr>
              <w:t xml:space="preserve"> </w:t>
            </w: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du sous-jacent est négatif à une valeur t donnée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7E38EC" w14:textId="10963E78" w:rsidR="00FD3BAF" w:rsidRPr="00FD3BAF" w:rsidRDefault="00466EE8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negative_price_value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</w:tc>
      </w:tr>
    </w:tbl>
    <w:p w14:paraId="4B06ABDF" w14:textId="77777777" w:rsid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60887702" w14:textId="77777777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On remarquera que dès le composant rencontre une erreur, il se termine immédiatement et renvoie le code erreur correspondant. </w:t>
      </w:r>
    </w:p>
    <w:p w14:paraId="77B57010" w14:textId="30171FBC" w:rsidR="004A1395" w:rsidRDefault="004A1395" w:rsidP="00FD3BAF">
      <w:pPr>
        <w:spacing w:line="520" w:lineRule="exact"/>
        <w:ind w:left="820"/>
        <w:rPr>
          <w:rFonts w:ascii="Calibri Light" w:eastAsia="Calibri Light" w:hAnsi="Calibri Light" w:cs="Calibri Light"/>
          <w:sz w:val="24"/>
          <w:szCs w:val="24"/>
        </w:rPr>
      </w:pPr>
    </w:p>
    <w:sectPr w:rsidR="004A1395" w:rsidSect="00FD3BA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altName w:val="Times New Roman"/>
    <w:charset w:val="00"/>
    <w:family w:val="auto"/>
    <w:pitch w:val="variable"/>
    <w:sig w:usb0="00000000" w:usb1="42000D4E" w:usb2="02000000" w:usb3="00000000" w:csb0="8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0C5284E"/>
    <w:multiLevelType w:val="multilevel"/>
    <w:tmpl w:val="C9CC4AF8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3C71836"/>
    <w:multiLevelType w:val="hybridMultilevel"/>
    <w:tmpl w:val="E0AA56B6"/>
    <w:lvl w:ilvl="0" w:tplc="02CC8676">
      <w:start w:val="1"/>
      <w:numFmt w:val="decimal"/>
      <w:lvlText w:val="%1."/>
      <w:lvlJc w:val="left"/>
      <w:pPr>
        <w:ind w:left="10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7" w:hanging="360"/>
      </w:pPr>
    </w:lvl>
    <w:lvl w:ilvl="2" w:tplc="040C001B" w:tentative="1">
      <w:start w:val="1"/>
      <w:numFmt w:val="lowerRoman"/>
      <w:lvlText w:val="%3."/>
      <w:lvlJc w:val="right"/>
      <w:pPr>
        <w:ind w:left="2467" w:hanging="180"/>
      </w:pPr>
    </w:lvl>
    <w:lvl w:ilvl="3" w:tplc="040C000F" w:tentative="1">
      <w:start w:val="1"/>
      <w:numFmt w:val="decimal"/>
      <w:lvlText w:val="%4."/>
      <w:lvlJc w:val="left"/>
      <w:pPr>
        <w:ind w:left="3187" w:hanging="360"/>
      </w:pPr>
    </w:lvl>
    <w:lvl w:ilvl="4" w:tplc="040C0019" w:tentative="1">
      <w:start w:val="1"/>
      <w:numFmt w:val="lowerLetter"/>
      <w:lvlText w:val="%5."/>
      <w:lvlJc w:val="left"/>
      <w:pPr>
        <w:ind w:left="3907" w:hanging="360"/>
      </w:pPr>
    </w:lvl>
    <w:lvl w:ilvl="5" w:tplc="040C001B" w:tentative="1">
      <w:start w:val="1"/>
      <w:numFmt w:val="lowerRoman"/>
      <w:lvlText w:val="%6."/>
      <w:lvlJc w:val="right"/>
      <w:pPr>
        <w:ind w:left="4627" w:hanging="180"/>
      </w:pPr>
    </w:lvl>
    <w:lvl w:ilvl="6" w:tplc="040C000F" w:tentative="1">
      <w:start w:val="1"/>
      <w:numFmt w:val="decimal"/>
      <w:lvlText w:val="%7."/>
      <w:lvlJc w:val="left"/>
      <w:pPr>
        <w:ind w:left="5347" w:hanging="360"/>
      </w:pPr>
    </w:lvl>
    <w:lvl w:ilvl="7" w:tplc="040C0019" w:tentative="1">
      <w:start w:val="1"/>
      <w:numFmt w:val="lowerLetter"/>
      <w:lvlText w:val="%8."/>
      <w:lvlJc w:val="left"/>
      <w:pPr>
        <w:ind w:left="6067" w:hanging="360"/>
      </w:pPr>
    </w:lvl>
    <w:lvl w:ilvl="8" w:tplc="040C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5">
    <w:nsid w:val="412C6884"/>
    <w:multiLevelType w:val="hybridMultilevel"/>
    <w:tmpl w:val="B1C42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B424A"/>
    <w:multiLevelType w:val="hybridMultilevel"/>
    <w:tmpl w:val="AF6EA2E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9FB44CD"/>
    <w:multiLevelType w:val="hybridMultilevel"/>
    <w:tmpl w:val="76BEB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53A1F15"/>
    <w:multiLevelType w:val="hybridMultilevel"/>
    <w:tmpl w:val="ABB00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95"/>
    <w:rsid w:val="00025265"/>
    <w:rsid w:val="00044EC3"/>
    <w:rsid w:val="00046E26"/>
    <w:rsid w:val="000E6CB0"/>
    <w:rsid w:val="00147DEE"/>
    <w:rsid w:val="00213687"/>
    <w:rsid w:val="002221B1"/>
    <w:rsid w:val="00255C2F"/>
    <w:rsid w:val="002E5626"/>
    <w:rsid w:val="00302D46"/>
    <w:rsid w:val="0031407F"/>
    <w:rsid w:val="00375D8C"/>
    <w:rsid w:val="003D2CCF"/>
    <w:rsid w:val="004126B6"/>
    <w:rsid w:val="00466EE8"/>
    <w:rsid w:val="00470BC2"/>
    <w:rsid w:val="00486CE7"/>
    <w:rsid w:val="004A1395"/>
    <w:rsid w:val="005C3549"/>
    <w:rsid w:val="00622A15"/>
    <w:rsid w:val="00661F90"/>
    <w:rsid w:val="0071210A"/>
    <w:rsid w:val="007425C3"/>
    <w:rsid w:val="00764D68"/>
    <w:rsid w:val="007E29EC"/>
    <w:rsid w:val="007E5541"/>
    <w:rsid w:val="008934DC"/>
    <w:rsid w:val="008D411C"/>
    <w:rsid w:val="009925EA"/>
    <w:rsid w:val="00A03585"/>
    <w:rsid w:val="00A37CD8"/>
    <w:rsid w:val="00A558AC"/>
    <w:rsid w:val="00A66728"/>
    <w:rsid w:val="00A82F82"/>
    <w:rsid w:val="00AD1881"/>
    <w:rsid w:val="00AE16EA"/>
    <w:rsid w:val="00B04548"/>
    <w:rsid w:val="00B70EA8"/>
    <w:rsid w:val="00BF31C0"/>
    <w:rsid w:val="00BF4480"/>
    <w:rsid w:val="00CD69F1"/>
    <w:rsid w:val="00CE07BA"/>
    <w:rsid w:val="00DB78AB"/>
    <w:rsid w:val="00E06726"/>
    <w:rsid w:val="00E21B52"/>
    <w:rsid w:val="00E5295D"/>
    <w:rsid w:val="00E560D7"/>
    <w:rsid w:val="00EB3BCA"/>
    <w:rsid w:val="00F6344B"/>
    <w:rsid w:val="00FB3855"/>
    <w:rsid w:val="00FB71D7"/>
    <w:rsid w:val="00FD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B4A1BA"/>
  <w15:docId w15:val="{6A9FBB6C-F1A9-4348-B759-0DD394A5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FD3B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3BA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3BAF"/>
    <w:rPr>
      <w:rFonts w:ascii="Lucida Grande" w:hAnsi="Lucida Grande" w:cs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D3BAF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22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Laurent Mary</cp:lastModifiedBy>
  <cp:revision>39</cp:revision>
  <cp:lastPrinted>2015-04-13T10:51:00Z</cp:lastPrinted>
  <dcterms:created xsi:type="dcterms:W3CDTF">2015-04-09T13:14:00Z</dcterms:created>
  <dcterms:modified xsi:type="dcterms:W3CDTF">2015-04-13T10:52:00Z</dcterms:modified>
</cp:coreProperties>
</file>