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7E5541">
        <w:trPr>
          <w:trHeight w:hRule="exact" w:val="75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1931" w14:textId="77777777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  <w:p w14:paraId="699E577F" w14:textId="0522AD04" w:rsidR="007E5541" w:rsidRDefault="007E5541" w:rsidP="00E06726">
            <w:pPr>
              <w:jc w:val="center"/>
            </w:pPr>
            <w:proofErr w:type="spellStart"/>
            <w:r>
              <w:t>Ajout</w:t>
            </w:r>
            <w:proofErr w:type="spellEnd"/>
            <w:r>
              <w:t xml:space="preserve"> de headers de </w:t>
            </w:r>
            <w:proofErr w:type="spellStart"/>
            <w:r>
              <w:t>fonctions</w:t>
            </w:r>
            <w:proofErr w:type="spellEnd"/>
            <w:r>
              <w:t xml:space="preserve"> à des fins de test</w:t>
            </w:r>
          </w:p>
          <w:p w14:paraId="05936658" w14:textId="51E3D352" w:rsidR="007E5541" w:rsidRDefault="007E5541" w:rsidP="00E06726">
            <w:pPr>
              <w:jc w:val="center"/>
            </w:pPr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1DD770AF" w:rsidR="004A1395" w:rsidRDefault="00E6583B" w:rsidP="007E5541">
            <w:pPr>
              <w:jc w:val="center"/>
            </w:pPr>
            <w:r>
              <w:t>1.4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4C9C3D5C" w:rsidR="004A1395" w:rsidRDefault="00E6583B" w:rsidP="00E6583B">
            <w:pPr>
              <w:jc w:val="center"/>
            </w:pPr>
            <w:r>
              <w:t>14/04/2015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3F7BEED8" w:rsidR="004A1395" w:rsidRDefault="00E6583B" w:rsidP="00E6583B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1C7220D3" w:rsidR="004A1395" w:rsidRDefault="00E6583B" w:rsidP="00E6583B">
            <w:pPr>
              <w:jc w:val="center"/>
            </w:pPr>
            <w:proofErr w:type="spellStart"/>
            <w:r>
              <w:t>Ajustement</w:t>
            </w:r>
            <w:proofErr w:type="spellEnd"/>
            <w:r>
              <w:t xml:space="preserve"> pour </w:t>
            </w:r>
            <w:proofErr w:type="spellStart"/>
            <w:r>
              <w:t>l’appel</w:t>
            </w:r>
            <w:proofErr w:type="spellEnd"/>
            <w:r>
              <w:t xml:space="preserve"> au </w:t>
            </w:r>
            <w:proofErr w:type="spellStart"/>
            <w:r>
              <w:t>composant</w:t>
            </w:r>
            <w:proofErr w:type="spellEnd"/>
            <w:r>
              <w:t xml:space="preserve"> 3</w:t>
            </w:r>
          </w:p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69248BA0" w:rsidR="004A1395" w:rsidRDefault="00346C2E" w:rsidP="00346C2E">
            <w:pPr>
              <w:jc w:val="center"/>
            </w:pPr>
            <w:r>
              <w:t>1.5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3A0D68D8" w:rsidR="004A1395" w:rsidRDefault="00346C2E" w:rsidP="00346C2E">
            <w:pPr>
              <w:jc w:val="center"/>
            </w:pPr>
            <w:r>
              <w:t>15/04/2015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2F7BF9A4" w:rsidR="004A1395" w:rsidRDefault="00346C2E" w:rsidP="00346C2E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293D9CEA" w:rsidR="004A1395" w:rsidRDefault="00346C2E" w:rsidP="00346C2E">
            <w:pPr>
              <w:jc w:val="center"/>
            </w:pPr>
            <w:proofErr w:type="spellStart"/>
            <w:r>
              <w:t>Précisions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l’enchaînement</w:t>
            </w:r>
            <w:proofErr w:type="spellEnd"/>
            <w:r>
              <w:t xml:space="preserve"> de </w:t>
            </w:r>
            <w:proofErr w:type="spellStart"/>
            <w:r>
              <w:t>appels</w:t>
            </w:r>
            <w:proofErr w:type="spellEnd"/>
          </w:p>
        </w:tc>
      </w:tr>
      <w:tr w:rsidR="004A1395" w14:paraId="611BD22C" w14:textId="77777777" w:rsidTr="00141F33">
        <w:trPr>
          <w:trHeight w:hRule="exact" w:val="49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43E1B86F" w:rsidR="004A1395" w:rsidRDefault="00304ACA" w:rsidP="00304ACA">
            <w:pPr>
              <w:jc w:val="center"/>
            </w:pPr>
            <w:r>
              <w:t>1.6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68E3D7AA" w:rsidR="004A1395" w:rsidRDefault="00304ACA" w:rsidP="00304ACA">
            <w:pPr>
              <w:jc w:val="center"/>
            </w:pPr>
            <w:r>
              <w:t>11/05/2015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07D59184" w:rsidR="004A1395" w:rsidRDefault="00304ACA" w:rsidP="00304ACA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4603D315" w:rsidR="004A1395" w:rsidRDefault="00304ACA" w:rsidP="00304ACA">
            <w:pPr>
              <w:jc w:val="center"/>
            </w:pPr>
            <w:r>
              <w:t xml:space="preserve">La function </w:t>
            </w:r>
            <w:proofErr w:type="spellStart"/>
            <w:r>
              <w:t>getChemin</w:t>
            </w:r>
            <w:proofErr w:type="spellEnd"/>
            <w:r>
              <w:t xml:space="preserve"> </w:t>
            </w:r>
            <w:proofErr w:type="spellStart"/>
            <w:r>
              <w:t>prend</w:t>
            </w:r>
            <w:proofErr w:type="spellEnd"/>
            <w:r>
              <w:t xml:space="preserve"> 2 </w:t>
            </w:r>
            <w:proofErr w:type="spellStart"/>
            <w:r>
              <w:t>paramètres</w:t>
            </w:r>
            <w:proofErr w:type="spellEnd"/>
            <w:r>
              <w:t xml:space="preserve"> : le </w:t>
            </w: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jours</w:t>
            </w:r>
            <w:proofErr w:type="spellEnd"/>
            <w:r>
              <w:t xml:space="preserve"> et le spot de </w:t>
            </w:r>
            <w:proofErr w:type="spellStart"/>
            <w:r>
              <w:t>départ</w:t>
            </w:r>
            <w:proofErr w:type="spellEnd"/>
          </w:p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BD1BC4C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31407F">
        <w:rPr>
          <w:rFonts w:asciiTheme="minorHAnsi" w:hAnsiTheme="minorHAnsi" w:cs="Times"/>
          <w:sz w:val="24"/>
          <w:szCs w:val="24"/>
          <w:lang w:val="fr-FR"/>
        </w:rPr>
        <w:t xml:space="preserve"> (vecteur allant de 0 à T-1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2929B22E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</w:t>
      </w:r>
    </w:p>
    <w:p w14:paraId="3E44ABAC" w14:textId="3BB73809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appelle le « GNA Gaussien » </w:t>
      </w:r>
      <w:r w:rsidR="00407541">
        <w:rPr>
          <w:rFonts w:asciiTheme="minorHAnsi" w:hAnsiTheme="minorHAnsi" w:cs="Times"/>
          <w:sz w:val="24"/>
          <w:szCs w:val="24"/>
          <w:lang w:val="fr-FR"/>
        </w:rPr>
        <w:t xml:space="preserve">(préalablement initialisé par l’interface XLL)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="00141F33">
        <w:rPr>
          <w:rFonts w:asciiTheme="minorHAnsi" w:hAnsiTheme="minorHAnsi" w:cs="Times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)</w:t>
      </w:r>
      <w:r w:rsidR="00141F33">
        <w:rPr>
          <w:rFonts w:asciiTheme="minorHAnsi" w:hAnsiTheme="minorHAnsi" w:cs="Times"/>
          <w:sz w:val="24"/>
          <w:szCs w:val="24"/>
          <w:lang w:val="fr-FR"/>
        </w:rPr>
        <w:t>. T désignant la maturité</w:t>
      </w:r>
    </w:p>
    <w:p w14:paraId="6B7ABAFA" w14:textId="04119AC5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>ui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renvoie un vecteur de</w:t>
      </w:r>
      <w:r w:rsidR="00486CE7">
        <w:rPr>
          <w:rFonts w:asciiTheme="minorHAnsi" w:hAnsiTheme="minorHAnsi" w:cs="Times"/>
          <w:sz w:val="24"/>
          <w:szCs w:val="24"/>
          <w:lang w:val="fr-FR"/>
        </w:rPr>
        <w:t xml:space="preserve"> variable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aléat</w:t>
      </w:r>
      <w:r w:rsidR="00486CE7">
        <w:rPr>
          <w:rFonts w:asciiTheme="minorHAnsi" w:hAnsiTheme="minorHAnsi" w:cs="Times"/>
          <w:sz w:val="24"/>
          <w:szCs w:val="24"/>
          <w:lang w:val="fr-FR"/>
        </w:rPr>
        <w:t>oire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suivant une 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</m:t>
        </m:r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w:lastRenderedPageBreak/>
          <m:t>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CE07BA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 (les différentes valeurs sont donc stockées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&lt;double&gt; N</w:t>
      </w:r>
      <w:r w:rsidR="00BD4C02">
        <w:rPr>
          <w:rFonts w:asciiTheme="minorHAnsi" w:hAnsiTheme="minorHAnsi" w:cs="Times"/>
          <w:sz w:val="24"/>
          <w:szCs w:val="24"/>
          <w:lang w:val="fr-FR"/>
        </w:rPr>
        <w:t xml:space="preserve"> de taille T</w:t>
      </w:r>
      <w:r w:rsidR="00CE07BA">
        <w:rPr>
          <w:rFonts w:asciiTheme="minorHAnsi" w:hAnsiTheme="minorHAnsi" w:cs="Times"/>
          <w:sz w:val="24"/>
          <w:szCs w:val="24"/>
          <w:lang w:val="fr-FR"/>
        </w:rPr>
        <w:t>).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4263B7CA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BC71D9">
        <w:rPr>
          <w:rFonts w:asciiTheme="minorHAnsi" w:hAnsiTheme="minorHAnsi" w:cs="Times"/>
          <w:sz w:val="24"/>
          <w:szCs w:val="24"/>
          <w:lang w:val="fr-FR"/>
        </w:rPr>
        <w:t>(e</w:t>
      </w:r>
      <w:r w:rsidR="00033A5F">
        <w:rPr>
          <w:rFonts w:asciiTheme="minorHAnsi" w:hAnsiTheme="minorHAnsi" w:cs="Times"/>
          <w:sz w:val="24"/>
          <w:szCs w:val="24"/>
          <w:lang w:val="fr-FR"/>
        </w:rPr>
        <w:t>n unité de 1</w:t>
      </w:r>
      <w:r w:rsidR="00BC71D9">
        <w:rPr>
          <w:rFonts w:asciiTheme="minorHAnsi" w:hAnsiTheme="minorHAnsi" w:cs="Times"/>
          <w:sz w:val="24"/>
          <w:szCs w:val="24"/>
          <w:lang w:val="fr-FR"/>
        </w:rPr>
        <w:t>)</w:t>
      </w:r>
      <w:r w:rsidR="00033A5F">
        <w:rPr>
          <w:rFonts w:asciiTheme="minorHAnsi" w:hAnsiTheme="minorHAnsi" w:cs="Times"/>
          <w:sz w:val="24"/>
          <w:szCs w:val="24"/>
          <w:lang w:val="fr-FR"/>
        </w:rPr>
        <w:t xml:space="preserve"> 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la maturité </w:t>
      </w:r>
      <w:r w:rsidR="00A558AC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1083753E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courant)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et la stocke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</w:t>
      </w:r>
      <w:r w:rsidR="008934DC">
        <w:rPr>
          <w:rFonts w:asciiTheme="minorHAnsi" w:hAnsiTheme="minorHAnsi" w:cs="Times"/>
          <w:sz w:val="24"/>
          <w:szCs w:val="24"/>
          <w:lang w:val="fr-FR"/>
        </w:rPr>
        <w:t>double</w:t>
      </w:r>
      <w:r w:rsidR="00A37CD8">
        <w:rPr>
          <w:rFonts w:asciiTheme="minorHAnsi" w:hAnsiTheme="minorHAnsi" w:cs="Times"/>
          <w:sz w:val="24"/>
          <w:szCs w:val="24"/>
          <w:lang w:val="fr-FR"/>
        </w:rPr>
        <w:t>&gt;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s</w:t>
      </w:r>
      <w:r w:rsidR="006A73D3">
        <w:rPr>
          <w:rFonts w:asciiTheme="minorHAnsi" w:hAnsiTheme="minorHAnsi" w:cs="Times"/>
          <w:sz w:val="24"/>
          <w:szCs w:val="24"/>
          <w:lang w:val="fr-FR"/>
        </w:rPr>
        <w:t>igma</w:t>
      </w:r>
      <w:r w:rsidR="008934DC">
        <w:rPr>
          <w:rFonts w:asciiTheme="minorHAnsi" w:hAnsiTheme="minorHAnsi" w:cs="Times"/>
          <w:sz w:val="24"/>
          <w:szCs w:val="24"/>
          <w:lang w:val="fr-FR"/>
        </w:rPr>
        <w:t>.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48E300D7" w:rsidR="00FD3BAF" w:rsidRPr="00044EC3" w:rsidRDefault="000E3550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=S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(1+</m:t>
          </m:r>
          <m:f>
            <m:fPr>
              <m:ctrlPr>
                <w:rPr>
                  <w:rFonts w:ascii="Cambria Math" w:hAnsi="Cambria Math" w:cs="STIXGeneral-Italic"/>
                  <w:position w:val="-6"/>
                  <w:sz w:val="28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TIXGeneral-Italic"/>
                  <w:sz w:val="32"/>
                  <w:szCs w:val="24"/>
                  <w:lang w:val="fr-FR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STIXGeneral-Italic"/>
                  <w:position w:val="-6"/>
                  <w:sz w:val="32"/>
                  <w:szCs w:val="24"/>
                  <w:lang w:val="fr-FR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  <m:t>252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N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)</m:t>
          </m:r>
        </m:oMath>
      </m:oMathPara>
    </w:p>
    <w:p w14:paraId="02404266" w14:textId="535BBEF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</w:t>
      </w:r>
      <w:r w:rsidR="000336A3">
        <w:rPr>
          <w:rFonts w:asciiTheme="minorHAnsi" w:hAnsiTheme="minorHAnsi" w:cs="Times"/>
          <w:sz w:val="24"/>
          <w:szCs w:val="24"/>
          <w:lang w:val="fr-FR"/>
        </w:rPr>
        <w:t xml:space="preserve">. On divise par la racine de 252 car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0336A3">
        <w:rPr>
          <w:rFonts w:asciiTheme="minorHAnsi" w:hAnsiTheme="minorHAnsi" w:cs="Times"/>
          <w:sz w:val="24"/>
          <w:szCs w:val="24"/>
          <w:lang w:val="fr-FR"/>
        </w:rPr>
        <w:t xml:space="preserve"> constitue une volatilité annualisée qu’on doit rapporter à une journée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.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523604CB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spellStart"/>
      <w:proofErr w:type="gramEnd"/>
      <w:r w:rsidR="0077332D">
        <w:rPr>
          <w:rFonts w:asciiTheme="minorHAnsi" w:hAnsiTheme="minorHAnsi" w:cs="Times"/>
          <w:b/>
          <w:sz w:val="24"/>
          <w:szCs w:val="24"/>
          <w:lang w:val="fr-FR"/>
        </w:rPr>
        <w:t>int</w:t>
      </w:r>
      <w:proofErr w:type="spellEnd"/>
      <w:r w:rsidR="0077332D">
        <w:rPr>
          <w:rFonts w:asciiTheme="minorHAnsi" w:hAnsiTheme="minorHAnsi" w:cs="Times"/>
          <w:b/>
          <w:sz w:val="24"/>
          <w:szCs w:val="24"/>
          <w:lang w:val="fr-FR"/>
        </w:rPr>
        <w:t xml:space="preserve"> jours, double spot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062026AA" w14:textId="71770BD1" w:rsidR="00486CE7" w:rsidRDefault="00486CE7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Les fonctions suivantes sont également à implémenter à des fins de test :</w:t>
      </w:r>
    </w:p>
    <w:p w14:paraId="7F0D339A" w14:textId="52B9ECA3" w:rsidR="00486CE7" w:rsidRPr="000A5DC6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getN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spellStart"/>
      <w:proofErr w:type="gramEnd"/>
      <w:r w:rsidR="001872A0">
        <w:rPr>
          <w:rFonts w:asciiTheme="minorHAnsi" w:hAnsiTheme="minorHAnsi" w:cs="Times"/>
          <w:sz w:val="24"/>
          <w:szCs w:val="24"/>
          <w:lang w:val="fr-FR"/>
        </w:rPr>
        <w:t>int</w:t>
      </w:r>
      <w:proofErr w:type="spellEnd"/>
      <w:r w:rsidR="001872A0">
        <w:rPr>
          <w:rFonts w:asciiTheme="minorHAnsi" w:hAnsiTheme="minorHAnsi" w:cs="Times"/>
          <w:sz w:val="24"/>
          <w:szCs w:val="24"/>
          <w:lang w:val="fr-FR"/>
        </w:rPr>
        <w:t xml:space="preserve"> jours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) ; </w:t>
      </w:r>
      <w:r w:rsidR="007E5541" w:rsidRPr="000A5DC6">
        <w:rPr>
          <w:rFonts w:asciiTheme="minorHAnsi" w:hAnsiTheme="minorHAnsi" w:cs="Times"/>
          <w:lang w:val="fr-FR"/>
        </w:rPr>
        <w:t>// renvoie le tableau N</w:t>
      </w:r>
      <w:r w:rsidR="002A0C55">
        <w:rPr>
          <w:rFonts w:asciiTheme="minorHAnsi" w:hAnsiTheme="minorHAnsi" w:cs="Times"/>
          <w:lang w:val="fr-FR"/>
        </w:rPr>
        <w:t xml:space="preserve"> de taille jours</w:t>
      </w:r>
      <w:r w:rsidR="000A5DC6" w:rsidRPr="000A5DC6">
        <w:rPr>
          <w:rFonts w:asciiTheme="minorHAnsi" w:hAnsiTheme="minorHAnsi" w:cs="Times"/>
          <w:lang w:val="fr-FR"/>
        </w:rPr>
        <w:t xml:space="preserve"> (vecteur de variables aléatoires suivant une loi N(0,1)</w:t>
      </w:r>
    </w:p>
    <w:p w14:paraId="04DDAD2F" w14:textId="02665A14" w:rsidR="007E5541" w:rsidRPr="000A5DC6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getSigma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spellStart"/>
      <w:proofErr w:type="gramEnd"/>
      <w:r w:rsidR="00A54B0D">
        <w:rPr>
          <w:rFonts w:asciiTheme="minorHAnsi" w:hAnsiTheme="minorHAnsi" w:cs="Times"/>
          <w:sz w:val="24"/>
          <w:szCs w:val="24"/>
          <w:lang w:val="fr-FR"/>
        </w:rPr>
        <w:t>int</w:t>
      </w:r>
      <w:proofErr w:type="spellEnd"/>
      <w:r w:rsidR="00A54B0D">
        <w:rPr>
          <w:rFonts w:asciiTheme="minorHAnsi" w:hAnsiTheme="minorHAnsi" w:cs="Times"/>
          <w:sz w:val="24"/>
          <w:szCs w:val="24"/>
          <w:lang w:val="fr-FR"/>
        </w:rPr>
        <w:t xml:space="preserve"> jours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) ; </w:t>
      </w:r>
      <w:r w:rsidR="007E5541" w:rsidRPr="000A5DC6">
        <w:rPr>
          <w:rFonts w:asciiTheme="minorHAnsi" w:hAnsiTheme="minorHAnsi" w:cs="Times"/>
          <w:lang w:val="fr-FR"/>
        </w:rPr>
        <w:t>// renvoie le tableau sigma</w:t>
      </w:r>
      <w:r w:rsidR="002A0C55">
        <w:rPr>
          <w:rFonts w:asciiTheme="minorHAnsi" w:hAnsiTheme="minorHAnsi" w:cs="Times"/>
          <w:lang w:val="fr-FR"/>
        </w:rPr>
        <w:t xml:space="preserve"> de taille jours</w:t>
      </w:r>
      <w:r w:rsidR="000A5DC6">
        <w:rPr>
          <w:rFonts w:asciiTheme="minorHAnsi" w:hAnsiTheme="minorHAnsi" w:cs="Times"/>
          <w:lang w:val="fr-FR"/>
        </w:rPr>
        <w:t xml:space="preserve"> (volatilité locale en t)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42E77278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lastRenderedPageBreak/>
        <w:t>Dans tous les cas, lorsque le composant rencontre une erreur, il renvoie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 (« </w:t>
      </w:r>
      <w:proofErr w:type="spellStart"/>
      <w:r w:rsidR="00A558AC">
        <w:rPr>
          <w:rFonts w:asciiTheme="minorHAnsi" w:hAnsiTheme="minorHAnsi" w:cs="Times"/>
          <w:sz w:val="24"/>
          <w:szCs w:val="24"/>
          <w:lang w:val="fr-FR"/>
        </w:rPr>
        <w:t>throw</w:t>
      </w:r>
      <w:proofErr w:type="spellEnd"/>
      <w:r w:rsidR="00A558AC">
        <w:rPr>
          <w:rFonts w:asciiTheme="minorHAnsi" w:hAnsiTheme="minorHAnsi" w:cs="Times"/>
          <w:sz w:val="24"/>
          <w:szCs w:val="24"/>
          <w:lang w:val="fr-FR"/>
        </w:rPr>
        <w:t> »)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une chaine de caractères 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: </w:t>
      </w:r>
    </w:p>
    <w:p w14:paraId="0E8B0481" w14:textId="0F836085" w:rsidR="00FD3BAF" w:rsidRDefault="00FD3BAF" w:rsidP="00FD3BAF">
      <w:pPr>
        <w:pStyle w:val="Lgende"/>
        <w:keepNext/>
      </w:pPr>
      <w:r>
        <w:t xml:space="preserve">Tableau </w:t>
      </w:r>
      <w:r w:rsidR="000E3550">
        <w:fldChar w:fldCharType="begin"/>
      </w:r>
      <w:r w:rsidR="000E3550">
        <w:instrText xml:space="preserve"> SEQ Tableau \* ARABIC </w:instrText>
      </w:r>
      <w:r w:rsidR="000E3550">
        <w:fldChar w:fldCharType="separate"/>
      </w:r>
      <w:r w:rsidR="000E3550">
        <w:rPr>
          <w:noProof/>
        </w:rPr>
        <w:t>1</w:t>
      </w:r>
      <w:r w:rsidR="000E3550">
        <w:rPr>
          <w:noProof/>
        </w:rPr>
        <w:fldChar w:fldCharType="end"/>
      </w:r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7716B6F7" w:rsidR="00FD3BAF" w:rsidRPr="00FD3BAF" w:rsidRDefault="002A1A91" w:rsidP="002A1A9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C531EF">
              <w:rPr>
                <w:rFonts w:asciiTheme="minorHAnsi" w:hAnsiTheme="minorHAnsi" w:cs="Times"/>
                <w:sz w:val="24"/>
                <w:szCs w:val="24"/>
                <w:lang w:val="fr-FR"/>
              </w:rPr>
              <w:t>_neg</w:t>
            </w:r>
            <w:proofErr w:type="spellEnd"/>
            <w:r w:rsidR="005F0983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 : </w:t>
            </w:r>
            <w:r w:rsidR="00244DF9">
              <w:rPr>
                <w:rFonts w:asciiTheme="minorHAnsi" w:hAnsiTheme="minorHAnsi" w:cs="Times"/>
                <w:sz w:val="24"/>
                <w:szCs w:val="24"/>
                <w:lang w:val="fr-FR"/>
              </w:rPr>
              <w:t>0</w:t>
            </w:r>
            <w:r w:rsidR="00FB71D7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6BBCBCF4" w:rsidR="00FD3BAF" w:rsidRPr="00FD3BAF" w:rsidRDefault="002A1A91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8B1FB9">
              <w:rPr>
                <w:rFonts w:asciiTheme="minorHAnsi" w:hAnsiTheme="minorHAnsi" w:cs="Times"/>
                <w:sz w:val="24"/>
                <w:szCs w:val="24"/>
                <w:lang w:val="fr-FR"/>
              </w:rPr>
              <w:t>_big</w:t>
            </w:r>
            <w:proofErr w:type="spellEnd"/>
            <w:r w:rsidR="00006667">
              <w:rPr>
                <w:rFonts w:asciiTheme="minorHAnsi" w:hAnsiTheme="minorHAnsi" w:cs="Times"/>
                <w:sz w:val="24"/>
                <w:szCs w:val="24"/>
                <w:lang w:val="fr-FR"/>
              </w:rPr>
              <w:t> :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0</w:t>
            </w:r>
            <w:r w:rsidR="00FB71D7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A370D1" w14:textId="77777777" w:rsidR="00FD3BAF" w:rsidRDefault="002A1A91" w:rsidP="00E77EA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</w:t>
            </w:r>
            <w:r w:rsidR="00C531EF">
              <w:rPr>
                <w:rFonts w:asciiTheme="minorHAnsi" w:hAnsiTheme="minorHAnsi" w:cs="Times"/>
                <w:sz w:val="24"/>
                <w:szCs w:val="24"/>
                <w:lang w:val="fr-FR"/>
              </w:rPr>
              <w:t>_neg</w:t>
            </w:r>
            <w:proofErr w:type="spellEnd"/>
            <w:r w:rsidR="005671D2">
              <w:rPr>
                <w:rFonts w:asciiTheme="minorHAnsi" w:hAnsiTheme="minorHAnsi" w:cs="Times"/>
                <w:sz w:val="24"/>
                <w:szCs w:val="24"/>
                <w:lang w:val="fr-FR"/>
              </w:rPr>
              <w:t> :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</w:t>
            </w:r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[</w:t>
            </w:r>
            <w:proofErr w:type="spellStart"/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indice_maturite</w:t>
            </w:r>
            <w:proofErr w:type="spellEnd"/>
            <w:r w:rsidR="00E77EA6">
              <w:rPr>
                <w:rFonts w:asciiTheme="minorHAnsi" w:hAnsiTheme="minorHAnsi" w:cs="Times"/>
                <w:sz w:val="24"/>
                <w:szCs w:val="24"/>
                <w:lang w:val="fr-FR"/>
              </w:rPr>
              <w:t>]</w:t>
            </w: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</w:t>
            </w:r>
            <w:r w:rsidR="00025265"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  <w:p w14:paraId="53F40FC2" w14:textId="22505CA4" w:rsidR="00E77EA6" w:rsidRPr="00FD3BAF" w:rsidRDefault="00E77EA6" w:rsidP="00E77EA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[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indice_maturite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] par le dernier indice du vecteur : la maturité T)</w:t>
            </w:r>
            <w:bookmarkStart w:id="0" w:name="_GoBack"/>
            <w:bookmarkEnd w:id="0"/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288" w14:textId="77777777" w:rsidR="00FD3BAF" w:rsidRDefault="003F3D85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unvalid_size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: [size] 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  <w:p w14:paraId="000771A9" w14:textId="6142BA5F" w:rsidR="00300A2A" w:rsidRPr="00FD3BAF" w:rsidRDefault="00300A2A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size par la taille du vecteur renvoyé)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4AD72" w14:textId="77777777" w:rsidR="00FD3BAF" w:rsidRDefault="00E424F4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valeur_gna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: [indice]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  <w:p w14:paraId="73833260" w14:textId="12EE7F3A" w:rsidR="00300A2A" w:rsidRPr="00FD3BAF" w:rsidRDefault="00300A2A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indice par l’indice dans le vecteur N où la condition n’est pas respectée)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62450056" w:rsidR="00FD3BAF" w:rsidRPr="00FD3BAF" w:rsidRDefault="00FD3BAF" w:rsidP="00A667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t</m:t>
                  </m:r>
                </m:sub>
              </m:sSub>
            </m:oMath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1A303" w14:textId="77777777" w:rsidR="00FD3BAF" w:rsidRDefault="00244DF9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« </w:t>
            </w:r>
            <w:proofErr w:type="spellStart"/>
            <w:r w:rsidR="002B38C2">
              <w:rPr>
                <w:rFonts w:asciiTheme="minorHAnsi" w:hAnsiTheme="minorHAnsi" w:cs="Times"/>
                <w:sz w:val="24"/>
                <w:szCs w:val="24"/>
                <w:lang w:val="fr-FR"/>
              </w:rPr>
              <w:t>valeur_neg</w:t>
            </w:r>
            <w:proofErr w:type="spellEnd"/>
            <w:r w:rsidR="002B38C2">
              <w:rPr>
                <w:rFonts w:asciiTheme="minorHAnsi" w:hAnsiTheme="minorHAnsi" w:cs="Times"/>
                <w:sz w:val="24"/>
                <w:szCs w:val="24"/>
                <w:lang w:val="fr-FR"/>
              </w:rPr>
              <w:t> : [indice]</w:t>
            </w:r>
            <w:r w:rsidR="00466EE8"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  <w:p w14:paraId="367E38EC" w14:textId="05A69D99" w:rsidR="002B38C2" w:rsidRPr="00FD3BAF" w:rsidRDefault="002B38C2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(remplacer indice par l’indice dans le vecteur S où la condition n’est pas respectée)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95"/>
    <w:rsid w:val="00006667"/>
    <w:rsid w:val="00025265"/>
    <w:rsid w:val="000336A3"/>
    <w:rsid w:val="00033A5F"/>
    <w:rsid w:val="00044EC3"/>
    <w:rsid w:val="00046E26"/>
    <w:rsid w:val="000A5DC6"/>
    <w:rsid w:val="000E3550"/>
    <w:rsid w:val="000E6CB0"/>
    <w:rsid w:val="00141F33"/>
    <w:rsid w:val="00147DEE"/>
    <w:rsid w:val="001872A0"/>
    <w:rsid w:val="00213687"/>
    <w:rsid w:val="002221B1"/>
    <w:rsid w:val="00244DF9"/>
    <w:rsid w:val="00255C2F"/>
    <w:rsid w:val="002A0C55"/>
    <w:rsid w:val="002A1A91"/>
    <w:rsid w:val="002B38C2"/>
    <w:rsid w:val="002E5626"/>
    <w:rsid w:val="00300A2A"/>
    <w:rsid w:val="00302D46"/>
    <w:rsid w:val="00304ACA"/>
    <w:rsid w:val="0031407F"/>
    <w:rsid w:val="00346C2E"/>
    <w:rsid w:val="00375D8C"/>
    <w:rsid w:val="00377C99"/>
    <w:rsid w:val="003D2CCF"/>
    <w:rsid w:val="003F3D85"/>
    <w:rsid w:val="00407541"/>
    <w:rsid w:val="004126B6"/>
    <w:rsid w:val="00420406"/>
    <w:rsid w:val="004247D1"/>
    <w:rsid w:val="00464040"/>
    <w:rsid w:val="00466EE8"/>
    <w:rsid w:val="00470BC2"/>
    <w:rsid w:val="00486CE7"/>
    <w:rsid w:val="004A1395"/>
    <w:rsid w:val="005671D2"/>
    <w:rsid w:val="005C3549"/>
    <w:rsid w:val="005F0983"/>
    <w:rsid w:val="00622A15"/>
    <w:rsid w:val="00661F90"/>
    <w:rsid w:val="006A73D3"/>
    <w:rsid w:val="0071210A"/>
    <w:rsid w:val="007425C3"/>
    <w:rsid w:val="00764D68"/>
    <w:rsid w:val="0077332D"/>
    <w:rsid w:val="007E29EC"/>
    <w:rsid w:val="007E5541"/>
    <w:rsid w:val="008934DC"/>
    <w:rsid w:val="008B1FB9"/>
    <w:rsid w:val="008D411C"/>
    <w:rsid w:val="009925EA"/>
    <w:rsid w:val="00A03585"/>
    <w:rsid w:val="00A37CD8"/>
    <w:rsid w:val="00A54B0D"/>
    <w:rsid w:val="00A558AC"/>
    <w:rsid w:val="00A66728"/>
    <w:rsid w:val="00A720A3"/>
    <w:rsid w:val="00A82F82"/>
    <w:rsid w:val="00AD1881"/>
    <w:rsid w:val="00AE16EA"/>
    <w:rsid w:val="00B04548"/>
    <w:rsid w:val="00B04726"/>
    <w:rsid w:val="00B70EA8"/>
    <w:rsid w:val="00BC71D9"/>
    <w:rsid w:val="00BD4C02"/>
    <w:rsid w:val="00BF31C0"/>
    <w:rsid w:val="00BF4480"/>
    <w:rsid w:val="00C531EF"/>
    <w:rsid w:val="00CA069B"/>
    <w:rsid w:val="00CD69F1"/>
    <w:rsid w:val="00CE07BA"/>
    <w:rsid w:val="00DB4C26"/>
    <w:rsid w:val="00DB78AB"/>
    <w:rsid w:val="00E06726"/>
    <w:rsid w:val="00E21B52"/>
    <w:rsid w:val="00E3562A"/>
    <w:rsid w:val="00E424F4"/>
    <w:rsid w:val="00E5295D"/>
    <w:rsid w:val="00E560D7"/>
    <w:rsid w:val="00E6583B"/>
    <w:rsid w:val="00E77EA6"/>
    <w:rsid w:val="00EB3BCA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905E06C-AFBB-4D89-9787-6652E385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Mary</dc:creator>
  <cp:keywords/>
  <dc:description/>
  <cp:lastModifiedBy>Laurent Mary</cp:lastModifiedBy>
  <cp:revision>16</cp:revision>
  <cp:lastPrinted>2015-05-11T17:05:00Z</cp:lastPrinted>
  <dcterms:created xsi:type="dcterms:W3CDTF">2015-04-09T13:14:00Z</dcterms:created>
  <dcterms:modified xsi:type="dcterms:W3CDTF">2015-05-11T17:05:00Z</dcterms:modified>
</cp:coreProperties>
</file>