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Orbyte GreenReady — Product Requirement Document </w:t>
      </w:r>
    </w:p>
    <w:p>
      <w:pPr/>
      <w:r>
        <w:rPr>
          <w:b/>
        </w:rPr>
        <w:t xml:space="preserve">Orbyte GreenReady — From Bills to Better Business.</w:t>
      </w:r>
    </w:p>
    <w:p>
      <w:pPr/>
      <w:r>
        <w:t xml:space="preserve">GreenReady removes one recurring task for Malaysian micro and small businesses: checking the monthly TNB bill and working out whether an energy upgrade is worth it. The owner forwards a bill in any format; the system checks every charge line, compares LED, inverter aircon and solar on the same formulas, and — only with the owner's approval — lists the business anonymously so green investors and suppliers can connect. Every company starts with RM10 of free credit, then pays RM2 per bill or RM29 a month as a member. Customers gain more than they pay from Year 1 (55% customer ROI), GreenReady breaks even in Year 2, and the 5-year plan facilitates 562 upgrades.</w:t>
      </w:r>
    </w:p>
    <w:p>
      <w:pPr/>
      <w:r>
        <w:t xml:space="preserve">All figures are estimates for preparation only, not financial advice. Banks and suppliers make their own decisions.</w:t>
      </w:r>
    </w:p>
    <w:p>
      <w:pPr>
        <w:pStyle w:val="Heading2"/>
      </w:pPr>
      <w:r>
        <w:t xml:space="preserve">1. Problem Statements</w:t>
      </w:r>
    </w:p>
    <w:p>
      <w:pPr/>
      <w:r>
        <w:t xml:space="preserve">Every month a small business receives a TNB bill, but nobody has the time or know-how to check whether the cost is normal or which upgrade would cut it. Money for green upgrades exists; what is missing is simple, trusted evidence that connects SMEs with the investors and suppliers who could help.</w:t>
      </w:r>
    </w:p>
    <w:p>
      <w:pPr/>
      <w:r>
        <w:rPr>
          <w:b/>
        </w:rPr>
        <w:t xml:space="preserve">Who is affected:</w:t>
      </w:r>
      <w:r>
        <w:t xml:space="preserve"> 1.08 million micro and small enterprises in Malaysia (767,421 micro and 314,465 small, 2023) [1]. The most electricity-intensive groups — 59,316 manufacturing MSMEs [1] and 136,453 food &amp; beverage establishments [2] — form our serviceable market of 195,769 firms. MSMEs produced 39.7% of Malaysia's GDP and 8.09 million jobs in 2025 [34].</w:t>
      </w:r>
    </w:p>
    <w:p>
      <w:pPr/>
      <w:r>
        <w:rPr>
          <w:b/>
        </w:rPr>
        <w:t xml:space="preserve">Problem 1 — the recurring burden.</w:t>
      </w:r>
      <w:r>
        <w:t xml:space="preserve"> Checking the bill by hand every month is slow, so most owners skip it and only notice a spike when cash runs short. SME owners already spend about 11 hours a week on admin and finance tasks (2026 survey) [3].</w:t>
      </w:r>
    </w:p>
    <w:p>
      <w:pPr/>
      <w:r>
        <w:rPr>
          <w:b/>
        </w:rPr>
        <w:t xml:space="preserve">Problem 2 — upgrade decisions are made blind.</w:t>
      </w:r>
      <w:r>
        <w:t xml:space="preserve"> Quotes come in different formats and from sellers who push their own product, so owners cannot tell which upgrade really pays back first.</w:t>
      </w:r>
    </w:p>
    <w:p>
      <w:pPr/>
      <w:r>
        <w:rPr>
          <w:b/>
        </w:rPr>
        <w:t xml:space="preserve">Problem 3 — an evidence gap blocks funding and partners.</w:t>
      </w:r>
      <w:r>
        <w:t xml:space="preserve"> SMEs cannot afford consultants to prove savings, so green financing and qualified suppliers stay out of reach, while banks and suppliers struggle to find ready SMEs.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29"/>
        <w:gridCol w:w="4920"/>
        <w:gridCol w:w="1911"/>
      </w:tblGrid>
      <w:tr>
        <w:trPr>
          <w:tblHeader/>
        </w:trPr>
        <w:tc>
          <w:tcPr>
            <w:tcW w:w="2529" w:type="dxa"/>
            <w:shd w:val="clear" w:color="auto" w:fill="F2F2F2"/>
          </w:tcPr>
          <w:p>
            <w:pPr/>
            <w:r>
              <w:t xml:space="preserve">Pain point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1911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2529" w:type="dxa"/>
          </w:tcPr>
          <w:p>
            <w:pPr/>
            <w:r>
              <w:t xml:space="preserve">Electricity costs are rising</w:t>
            </w:r>
          </w:p>
        </w:tc>
        <w:tc>
          <w:tcPr>
            <w:tcW w:w="4920" w:type="dxa"/>
          </w:tcPr>
          <w:p>
            <w:pPr/>
            <w:r>
              <w:t xml:space="preserve">Energy-intensive SMEs reported up to 10% higher monthly bills; up to RM9,000 more a month in industrial zones</w:t>
            </w:r>
          </w:p>
        </w:tc>
        <w:tc>
          <w:tcPr>
            <w:tcW w:w="1911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The Star via TNB, Aug 2025</w:t>
              </w:r>
            </w:hyperlink>
          </w:p>
        </w:tc>
      </w:tr>
      <w:tr>
        <w:tc>
          <w:tcPr>
            <w:tcW w:w="2529" w:type="dxa"/>
          </w:tcPr>
          <w:p>
            <w:pPr/>
            <w:r>
              <w:t xml:space="preserve">No expertise to measure energy and carbon</w:t>
            </w:r>
          </w:p>
        </w:tc>
        <w:tc>
          <w:tcPr>
            <w:tcW w:w="4920" w:type="dxa"/>
          </w:tcPr>
          <w:p>
            <w:pPr/>
            <w:r>
              <w:t xml:space="preserve">A professional carbon audit or ISO certification costs RM20,000–50,000; SAMENTA names cost, expertise and confusion as the main barriers</w:t>
            </w:r>
          </w:p>
        </w:tc>
        <w:tc>
          <w:tcPr>
            <w:tcW w:w="1911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The Vibes, Dec 2025</w:t>
              </w:r>
            </w:hyperlink>
          </w:p>
        </w:tc>
      </w:tr>
      <w:tr>
        <w:tc>
          <w:tcPr>
            <w:tcW w:w="2529" w:type="dxa"/>
          </w:tcPr>
          <w:p>
            <w:pPr/>
            <w:r>
              <w:t xml:space="preserve">Data collection is the bottleneck</w:t>
            </w:r>
          </w:p>
        </w:tc>
        <w:tc>
          <w:tcPr>
            <w:tcW w:w="4920" w:type="dxa"/>
          </w:tcPr>
          <w:p>
            <w:pPr/>
            <w:r>
              <w:t xml:space="preserve">SMEs struggle with ESG data collection due to limited capacity and information overload</w:t>
            </w:r>
          </w:p>
        </w:tc>
        <w:tc>
          <w:tcPr>
            <w:tcW w:w="1911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Business Today, Jan 2026</w:t>
              </w:r>
            </w:hyperlink>
          </w:p>
        </w:tc>
      </w:tr>
      <w:tr>
        <w:tc>
          <w:tcPr>
            <w:tcW w:w="2529" w:type="dxa"/>
          </w:tcPr>
          <w:p>
            <w:pPr/>
            <w:r>
              <w:t xml:space="preserve">Missing energy data costs business</w:t>
            </w:r>
          </w:p>
        </w:tc>
        <w:tc>
          <w:tcPr>
            <w:tcW w:w="4920" w:type="dxa"/>
          </w:tcPr>
          <w:p>
            <w:pPr/>
            <w:r>
              <w:t xml:space="preserve">Some firms lost export deals because of inconsistent energy usage data</w:t>
            </w:r>
          </w:p>
        </w:tc>
        <w:tc>
          <w:tcPr>
            <w:tcW w:w="1911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The Vibes, Dec 2025</w:t>
              </w:r>
            </w:hyperlink>
          </w:p>
        </w:tc>
      </w:tr>
      <w:tr>
        <w:tc>
          <w:tcPr>
            <w:tcW w:w="2529" w:type="dxa"/>
          </w:tcPr>
          <w:p>
            <w:pPr/>
            <w:r>
              <w:t xml:space="preserve">Upgrades stall on knowledge, not intent</w:t>
            </w:r>
          </w:p>
        </w:tc>
        <w:tc>
          <w:tcPr>
            <w:tcW w:w="4920" w:type="dxa"/>
          </w:tcPr>
          <w:p>
            <w:pPr/>
            <w:r>
              <w:t xml:space="preserve">Adoption held back by limited knowledge and expertise; green finance seen as only for large firms</w:t>
            </w:r>
          </w:p>
        </w:tc>
        <w:tc>
          <w:tcPr>
            <w:tcW w:w="1911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Business Today, Aug 2026</w:t>
              </w:r>
            </w:hyperlink>
          </w:p>
        </w:tc>
      </w:tr>
      <w:tr>
        <w:tc>
          <w:tcPr>
            <w:tcW w:w="2529" w:type="dxa"/>
          </w:tcPr>
          <w:p>
            <w:pPr/>
            <w:r>
              <w:t xml:space="preserve">Financing criteria are unclear</w:t>
            </w:r>
          </w:p>
        </w:tc>
        <w:tc>
          <w:tcPr>
            <w:tcW w:w="4920" w:type="dxa"/>
          </w:tcPr>
          <w:p>
            <w:pPr/>
            <w:r>
              <w:t xml:space="preserve">SMEs lack practical guidance on how sustainability criteria are used in lending, which discourages applications</w:t>
            </w:r>
          </w:p>
        </w:tc>
        <w:tc>
          <w:tcPr>
            <w:tcW w:w="1911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Business Today, Feb 2026</w:t>
              </w:r>
            </w:hyperlink>
          </w:p>
        </w:tc>
      </w:tr>
      <w:tr>
        <w:tc>
          <w:tcPr>
            <w:tcW w:w="2529" w:type="dxa"/>
          </w:tcPr>
          <w:p>
            <w:pPr/>
            <w:r>
              <w:t xml:space="preserve">Cost saving is the main motivator</w:t>
            </w:r>
          </w:p>
        </w:tc>
        <w:tc>
          <w:tcPr>
            <w:tcW w:w="4920" w:type="dxa"/>
          </w:tcPr>
          <w:p>
            <w:pPr/>
            <w:r>
              <w:t xml:space="preserve">48% of SMEs are seeking technology to improve energy efficiency</w:t>
            </w:r>
          </w:p>
        </w:tc>
        <w:tc>
          <w:tcPr>
            <w:tcW w:w="1911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UOB Business Outlook 2026</w:t>
              </w:r>
            </w:hyperlink>
          </w:p>
        </w:tc>
      </w:tr>
      <w:tr>
        <w:tc>
          <w:tcPr>
            <w:tcW w:w="2529" w:type="dxa"/>
          </w:tcPr>
          <w:p>
            <w:pPr/>
            <w:r>
              <w:t xml:space="preserve">Banks need bill history</w:t>
            </w:r>
          </w:p>
        </w:tc>
        <w:tc>
          <w:tcPr>
            <w:tcW w:w="4920" w:type="dxa"/>
          </w:tcPr>
          <w:p>
            <w:pPr/>
            <w:r>
              <w:t xml:space="preserve">Solar financing quotes are based on past electricity bills, preferably six months</w:t>
            </w:r>
          </w:p>
        </w:tc>
        <w:tc>
          <w:tcPr>
            <w:tcW w:w="1911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Hong Leong Bank</w:t>
              </w:r>
            </w:hyperlink>
          </w:p>
        </w:tc>
      </w:tr>
    </w:tbl>
    <w:p>
      <w:pPr/>
      <w:r>
        <w:rPr>
          <w:b/>
        </w:rPr>
        <w:t xml:space="preserve">Target users: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68"/>
        <w:gridCol w:w="3186"/>
        <w:gridCol w:w="3206"/>
      </w:tblGrid>
      <w:tr>
        <w:trPr>
          <w:tblHeader/>
        </w:trPr>
        <w:tc>
          <w:tcPr>
            <w:tcW w:w="2968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3186" w:type="dxa"/>
            <w:shd w:val="clear" w:color="auto" w:fill="F2F2F2"/>
          </w:tcPr>
          <w:p>
            <w:pPr/>
            <w:r>
              <w:t xml:space="preserve">Who they are</w:t>
            </w:r>
          </w:p>
        </w:tc>
        <w:tc>
          <w:tcPr>
            <w:tcW w:w="3206" w:type="dxa"/>
            <w:shd w:val="clear" w:color="auto" w:fill="F2F2F2"/>
          </w:tcPr>
          <w:p>
            <w:pPr/>
            <w:r>
              <w:t xml:space="preserve">What they need</w:t>
            </w:r>
          </w:p>
        </w:tc>
      </w:tr>
      <w:tr>
        <w:tc>
          <w:tcPr>
            <w:tcW w:w="2968" w:type="dxa"/>
          </w:tcPr>
          <w:p>
            <w:pPr/>
            <w:r>
              <w:t xml:space="preserve">SME owner (primary)</w:t>
            </w:r>
          </w:p>
        </w:tc>
        <w:tc>
          <w:tcPr>
            <w:tcW w:w="3186" w:type="dxa"/>
          </w:tcPr>
          <w:p>
            <w:pPr/>
            <w:r>
              <w:t xml:space="preserve">Owners of micro and small manufacturing and F&amp;B firms — 195,769 firms in our serviceable market</w:t>
            </w:r>
          </w:p>
        </w:tc>
        <w:tc>
          <w:tcPr>
            <w:tcW w:w="3206" w:type="dxa"/>
          </w:tcPr>
          <w:p>
            <w:pPr/>
            <w:r>
              <w:t xml:space="preserve">A quick monthly bill check and a fair answer on which upgrade pays back first</w:t>
            </w:r>
          </w:p>
        </w:tc>
      </w:tr>
      <w:tr>
        <w:tc>
          <w:tcPr>
            <w:tcW w:w="2968" w:type="dxa"/>
          </w:tcPr>
          <w:p>
            <w:pPr/>
            <w:r>
              <w:t xml:space="preserve">SME staff</w:t>
            </w:r>
          </w:p>
        </w:tc>
        <w:tc>
          <w:tcPr>
            <w:tcW w:w="3186" w:type="dxa"/>
          </w:tcPr>
          <w:p>
            <w:pPr/>
            <w:r>
              <w:t xml:space="preserve">Admin or finance staff who receive the bill</w:t>
            </w:r>
          </w:p>
        </w:tc>
        <w:tc>
          <w:tcPr>
            <w:tcW w:w="3206" w:type="dxa"/>
          </w:tcPr>
          <w:p>
            <w:pPr/>
            <w:r>
              <w:t xml:space="preserve">Forward the bill once and fix only the fields the system flags</w:t>
            </w:r>
          </w:p>
        </w:tc>
      </w:tr>
      <w:tr>
        <w:tc>
          <w:tcPr>
            <w:tcW w:w="2968" w:type="dxa"/>
          </w:tcPr>
          <w:p>
            <w:pPr/>
            <w:r>
              <w:t xml:space="preserve">Green investors and banks</w:t>
            </w:r>
          </w:p>
        </w:tc>
        <w:tc>
          <w:tcPr>
            <w:tcW w:w="3186" w:type="dxa"/>
          </w:tcPr>
          <w:p>
            <w:pPr/>
            <w:r>
              <w:t xml:space="preserve">Banks with green or SME financing, e.g. under the Low Carbon Transition Facility [15]</w:t>
            </w:r>
          </w:p>
        </w:tc>
        <w:tc>
          <w:tcPr>
            <w:tcW w:w="3206" w:type="dxa"/>
          </w:tcPr>
          <w:p>
            <w:pPr/>
            <w:r>
              <w:t xml:space="preserve">Ready SMEs with checked bill evidence, matched to their own criteria</w:t>
            </w:r>
          </w:p>
        </w:tc>
      </w:tr>
      <w:tr>
        <w:tc>
          <w:tcPr>
            <w:tcW w:w="2968" w:type="dxa"/>
          </w:tcPr>
          <w:p>
            <w:pPr/>
            <w:r>
              <w:t xml:space="preserve">Suppliers</w:t>
            </w:r>
          </w:p>
        </w:tc>
        <w:tc>
          <w:tcPr>
            <w:tcW w:w="3186" w:type="dxa"/>
          </w:tcPr>
          <w:p>
            <w:pPr/>
            <w:r>
              <w:t xml:space="preserve">SEDA-registered solar installers, LED and aircon suppliers</w:t>
            </w:r>
          </w:p>
        </w:tc>
        <w:tc>
          <w:tcPr>
            <w:tcW w:w="3206" w:type="dxa"/>
          </w:tcPr>
          <w:p>
            <w:pPr/>
            <w:r>
              <w:t xml:space="preserve">Qualified leads that match their product and service area</w:t>
            </w:r>
          </w:p>
        </w:tc>
      </w:tr>
      <w:tr>
        <w:tc>
          <w:tcPr>
            <w:tcW w:w="2968" w:type="dxa"/>
          </w:tcPr>
          <w:p>
            <w:pPr/>
            <w:r>
              <w:t xml:space="preserve">Orbyte</w:t>
            </w:r>
          </w:p>
        </w:tc>
        <w:tc>
          <w:tcPr>
            <w:tcW w:w="3186" w:type="dxa"/>
          </w:tcPr>
          <w:p>
            <w:pPr/>
            <w:r>
              <w:t xml:space="preserve">The SME hub that hosts GreenReady</w:t>
            </w:r>
          </w:p>
        </w:tc>
        <w:tc>
          <w:tcPr>
            <w:tcW w:w="3206" w:type="dxa"/>
          </w:tcPr>
          <w:p>
            <w:pPr/>
            <w:r>
              <w:t xml:space="preserve">A module that keeps SMEs active and adds partner revenue</w:t>
            </w:r>
          </w:p>
        </w:tc>
      </w:tr>
    </w:tbl>
    <w:p>
      <w:pPr/>
      <w:r>
        <w:rPr>
          <w:b/>
        </w:rPr>
        <w:t xml:space="preserve">SDG alignment (SDG 8 first, as Domain 2 requires):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SDG 8.2 — productivity through technology (main).</w:t>
      </w:r>
      <w:r>
        <w:t xml:space="preserve"> A monthly manual bill review becomes a forward-and-read task in minutes.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SDG 8.3 — MSME growth and access to finance (main).</w:t>
      </w:r>
      <w:r>
        <w:t xml:space="preserve"> Micro and small firms can plan upgrades and reach green funders and suppliers without paying a consultant.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SDG 9.3 — small enterprises' access to financial services.</w:t>
      </w:r>
      <w:r>
        <w:t xml:space="preserve"> Investors receive consistent, checked evidence instead of scattered paperwork.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Co-benefits — SDG 7 and SDG 13.</w:t>
      </w:r>
      <w:r>
        <w:t xml:space="preserve"> Lower electricity use and avoided emissions, measured with the Energy Commission's grid factor of 0.740 kg CO2e/kWh [5].</w:t>
      </w:r>
    </w:p>
    <w:p>
      <w:pPr>
        <w:pStyle w:val="Heading2"/>
      </w:pPr>
      <w:r>
        <w:t xml:space="preserve">2. Solutions Proposed</w:t>
      </w:r>
    </w:p>
    <w:p>
      <w:pPr/>
      <w:r>
        <w:t xml:space="preserve">GreenReady is a module inside the Orbyte hub that turns the monthly TNB bill into decisions and connections: a quick bill check, a fair upgrade comparison, and an anonymous listing that investors and suppliers can approach only with the owner's consent.</w:t>
      </w:r>
    </w:p>
    <w:p>
      <w:pPr/>
      <w:r>
        <w:drawing>
          <wp:inline distT="0" distB="0" distL="0" distR="0">
            <wp:extent cx="5486400" cy="2106385"/>
            <wp:docPr id="1" name="image1" descr="GreenReady journey · 6 stages, 2 owner approva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reenReady journey · 6 stages, 2 owner approval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GreenReady journey · 6 stages, 2 owner approvals</w:t>
      </w:r>
    </w:p>
    <w:p>
      <w:pPr/>
      <w:r>
        <w:t xml:space="preserve">Stages 1–3 serve the SME on its own; stages 4–6 open the business to partners, and the owner controls both gates. Every step is written to the activity log.</w:t>
      </w:r>
    </w:p>
    <w:p>
      <w:pPr/>
      <w:r>
        <w:rPr>
          <w:b/>
        </w:rPr>
        <w:t xml:space="preserve">Inputs (simple to start):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TNB bill</w:t>
      </w:r>
      <w:r>
        <w:t xml:space="preserve"> — forwarded on WhatsApp or uploaded as a photo, PDF or screenshot; the only required document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Company profile</w:t>
      </w:r>
      <w:r>
        <w:t xml:space="preserve"> — SSM details at login: name, registration no., incorporation date, type, status, nature of business, directors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Owner form</w:t>
      </w:r>
      <w:r>
        <w:t xml:space="preserve"> — four questions: lighting type, aircon type, roof access, daytime operation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Supplier quote (optional)</w:t>
      </w:r>
      <w:r>
        <w:t xml:space="preserve"> — makes the estimate exact and bank-ready</w:t>
      </w:r>
    </w:p>
    <w:p>
      <w:pPr/>
      <w:r>
        <w:rPr>
          <w:b/>
        </w:rPr>
        <w:t xml:space="preserve">What each user gets: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47"/>
        <w:gridCol w:w="6212"/>
      </w:tblGrid>
      <w:tr>
        <w:trPr>
          <w:tblHeader/>
        </w:trPr>
        <w:tc>
          <w:tcPr>
            <w:tcW w:w="3147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6212" w:type="dxa"/>
            <w:shd w:val="clear" w:color="auto" w:fill="F2F2F2"/>
          </w:tcPr>
          <w:p>
            <w:pPr/>
            <w:r>
              <w:t xml:space="preserve">Main outputs</w:t>
            </w:r>
          </w:p>
        </w:tc>
      </w:tr>
      <w:tr>
        <w:tc>
          <w:tcPr>
            <w:tcW w:w="3147" w:type="dxa"/>
          </w:tcPr>
          <w:p>
            <w:pPr/>
            <w:r>
              <w:t xml:space="preserve">SME owner</w:t>
            </w:r>
          </w:p>
        </w:tc>
        <w:tc>
          <w:tcPr>
            <w:tcW w:w="6212" w:type="dxa"/>
          </w:tcPr>
          <w:p>
            <w:pPr/>
            <w:r>
              <w:t xml:space="preserve">Bill summary, 8/8 checks, spike alert, 6-month trend, side-by-side upgrade options, Preparation Pack, incoming requests to accept or decline</w:t>
            </w:r>
          </w:p>
        </w:tc>
      </w:tr>
      <w:tr>
        <w:tc>
          <w:tcPr>
            <w:tcW w:w="3147" w:type="dxa"/>
          </w:tcPr>
          <w:p>
            <w:pPr/>
            <w:r>
              <w:t xml:space="preserve">Green investor / bank</w:t>
            </w:r>
          </w:p>
        </w:tc>
        <w:tc>
          <w:tcPr>
            <w:tcW w:w="6212" w:type="dxa"/>
          </w:tcPr>
          <w:p>
            <w:pPr/>
            <w:r>
              <w:t xml:space="preserve">Anonymised listings checked against its own criteria, a repayment check on its own terms, a non-binding Expression of Interest after acceptance</w:t>
            </w:r>
          </w:p>
        </w:tc>
      </w:tr>
      <w:tr>
        <w:tc>
          <w:tcPr>
            <w:tcW w:w="3147" w:type="dxa"/>
          </w:tcPr>
          <w:p>
            <w:pPr/>
            <w:r>
              <w:t xml:space="preserve">Supplier</w:t>
            </w:r>
          </w:p>
        </w:tc>
        <w:tc>
          <w:tcPr>
            <w:tcW w:w="6212" w:type="dxa"/>
          </w:tcPr>
          <w:p>
            <w:pPr/>
            <w:r>
              <w:t xml:space="preserve">Listings matching its product and service area, a draft outreach proposal, contact details after acceptance</w:t>
            </w:r>
          </w:p>
        </w:tc>
      </w:tr>
    </w:tbl>
    <w:p>
      <w:pPr/>
      <w:r>
        <w:rPr>
          <w:b/>
        </w:rPr>
        <w:t xml:space="preserve">Core journey (Domain 2 requirement):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1"/>
        <w:gridCol w:w="6708"/>
      </w:tblGrid>
      <w:tr>
        <w:trPr>
          <w:tblHeader/>
        </w:trPr>
        <w:tc>
          <w:tcPr>
            <w:tcW w:w="2651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6708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2651" w:type="dxa"/>
          </w:tcPr>
          <w:p>
            <w:pPr/>
            <w:r>
              <w:t xml:space="preserve">Trigger</w:t>
            </w:r>
          </w:p>
        </w:tc>
        <w:tc>
          <w:tcPr>
            <w:tcW w:w="6708" w:type="dxa"/>
          </w:tcPr>
          <w:p>
            <w:pPr/>
            <w:r>
              <w:t xml:space="preserve">Owner forwards the monthly TNB bill</w:t>
            </w:r>
          </w:p>
        </w:tc>
      </w:tr>
      <w:tr>
        <w:tc>
          <w:tcPr>
            <w:tcW w:w="2651" w:type="dxa"/>
          </w:tcPr>
          <w:p>
            <w:pPr/>
            <w:r>
              <w:t xml:space="preserve">Connected data</w:t>
            </w:r>
          </w:p>
        </w:tc>
        <w:tc>
          <w:tcPr>
            <w:tcW w:w="6708" w:type="dxa"/>
          </w:tcPr>
          <w:p>
            <w:pPr/>
            <w:r>
              <w:t xml:space="preserve">AI reads every charge line; company profile and owner form are linked</w:t>
            </w:r>
          </w:p>
        </w:tc>
      </w:tr>
      <w:tr>
        <w:tc>
          <w:tcPr>
            <w:tcW w:w="2651" w:type="dxa"/>
          </w:tcPr>
          <w:p>
            <w:pPr/>
            <w:r>
              <w:t xml:space="preserve">Decision logic</w:t>
            </w:r>
          </w:p>
        </w:tc>
        <w:tc>
          <w:tcPr>
            <w:tcW w:w="6708" w:type="dxa"/>
          </w:tcPr>
          <w:p>
            <w:pPr/>
            <w:r>
              <w:t xml:space="preserve">Fixed rules check the bill (8 checks), flag spikes, and calculate savings, payback and CO2e</w:t>
            </w:r>
          </w:p>
        </w:tc>
      </w:tr>
      <w:tr>
        <w:tc>
          <w:tcPr>
            <w:tcW w:w="2651" w:type="dxa"/>
          </w:tcPr>
          <w:p>
            <w:pPr/>
            <w:r>
              <w:t xml:space="preserve">Human approval</w:t>
            </w:r>
          </w:p>
        </w:tc>
        <w:tc>
          <w:tcPr>
            <w:tcW w:w="6708" w:type="dxa"/>
          </w:tcPr>
          <w:p>
            <w:pPr/>
            <w:r>
              <w:t xml:space="preserve">Staff fix uncertain fields (&lt;85% confidence); the owner approves the listing and each connection</w:t>
            </w:r>
          </w:p>
        </w:tc>
      </w:tr>
      <w:tr>
        <w:tc>
          <w:tcPr>
            <w:tcW w:w="2651" w:type="dxa"/>
          </w:tcPr>
          <w:p>
            <w:pPr/>
            <w:r>
              <w:t xml:space="preserve">Visible outcome</w:t>
            </w:r>
          </w:p>
        </w:tc>
        <w:tc>
          <w:tcPr>
            <w:tcW w:w="6708" w:type="dxa"/>
          </w:tcPr>
          <w:p>
            <w:pPr/>
            <w:r>
              <w:t xml:space="preserve">Preparation Pack, anonymous listing, EOI or proposal — all logged</w:t>
            </w:r>
          </w:p>
        </w:tc>
      </w:tr>
    </w:tbl>
    <w:p>
      <w:pPr/>
      <w:r>
        <w:rPr>
          <w:b/>
        </w:rPr>
        <w:t xml:space="preserve">Boundaries:</w:t>
      </w:r>
      <w:r>
        <w:t xml:space="preserve"> no credit scores, ratings or loan advice; no upgrade money moves through the platform (GreenReady collects only its own fees); financing and purchases are agreed with licensed banks and registered suppliers. Platforms that fund SMEs directly must be registered with the Securities Commission [25].</w:t>
      </w:r>
    </w:p>
    <w:p>
      <w:pPr/>
      <w:r>
        <w:rPr>
          <w:b/>
        </w:rPr>
        <w:t xml:space="preserve">Key features (MVP):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611"/>
        <w:gridCol w:w="4920"/>
        <w:gridCol w:w="210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611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109" w:type="dxa"/>
            <w:shd w:val="clear" w:color="auto" w:fill="F2F2F2"/>
          </w:tcPr>
          <w:p>
            <w:pPr/>
            <w:r>
              <w:t xml:space="preserve">User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F1</w:t>
            </w:r>
          </w:p>
        </w:tc>
        <w:tc>
          <w:tcPr>
            <w:tcW w:w="1611" w:type="dxa"/>
          </w:tcPr>
          <w:p>
            <w:pPr/>
            <w:r>
              <w:t xml:space="preserve">Bill intake</w:t>
            </w:r>
          </w:p>
        </w:tc>
        <w:tc>
          <w:tcPr>
            <w:tcW w:w="4920" w:type="dxa"/>
          </w:tcPr>
          <w:p>
            <w:pPr/>
            <w:r>
              <w:t xml:space="preserve">Accepts the TNB bill on WhatsApp or as an uploaded photo, PDF or screenshot; AI reads every charge line with a confidence score</w:t>
            </w:r>
          </w:p>
        </w:tc>
        <w:tc>
          <w:tcPr>
            <w:tcW w:w="2109" w:type="dxa"/>
          </w:tcPr>
          <w:p>
            <w:pPr/>
            <w:r>
              <w:t xml:space="preserve">SME owner, staff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</w:t>
            </w:r>
          </w:p>
        </w:tc>
        <w:tc>
          <w:tcPr>
            <w:tcW w:w="1611" w:type="dxa"/>
          </w:tcPr>
          <w:p>
            <w:pPr/>
            <w:r>
              <w:t xml:space="preserve">Bill check</w:t>
            </w:r>
          </w:p>
        </w:tc>
        <w:tc>
          <w:tcPr>
            <w:tcW w:w="4920" w:type="dxa"/>
          </w:tcPr>
          <w:p>
            <w:pPr/>
            <w:r>
              <w:t xml:space="preserve">8 fixed checks against the official tariff, a spike alert against the 6-month average, and a usage trend</w:t>
            </w:r>
          </w:p>
        </w:tc>
        <w:tc>
          <w:tcPr>
            <w:tcW w:w="2109" w:type="dxa"/>
          </w:tcPr>
          <w:p>
            <w:pPr/>
            <w:r>
              <w:t xml:space="preserve">SME owner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F3</w:t>
            </w:r>
          </w:p>
        </w:tc>
        <w:tc>
          <w:tcPr>
            <w:tcW w:w="1611" w:type="dxa"/>
          </w:tcPr>
          <w:p>
            <w:pPr/>
            <w:r>
              <w:t xml:space="preserve">Upgrade comparison</w:t>
            </w:r>
          </w:p>
        </w:tc>
        <w:tc>
          <w:tcPr>
            <w:tcW w:w="4920" w:type="dxa"/>
          </w:tcPr>
          <w:p>
            <w:pPr/>
            <w:r>
              <w:t xml:space="preserve">LED, inverter aircon and solar compared on the same formulas: cost, yearly saving, payback and CO2e</w:t>
            </w:r>
          </w:p>
        </w:tc>
        <w:tc>
          <w:tcPr>
            <w:tcW w:w="2109" w:type="dxa"/>
          </w:tcPr>
          <w:p>
            <w:pPr/>
            <w:r>
              <w:t xml:space="preserve">SME owner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F4</w:t>
            </w:r>
          </w:p>
        </w:tc>
        <w:tc>
          <w:tcPr>
            <w:tcW w:w="1611" w:type="dxa"/>
          </w:tcPr>
          <w:p>
            <w:pPr/>
            <w:r>
              <w:t xml:space="preserve">Preparation Pack</w:t>
            </w:r>
          </w:p>
        </w:tc>
        <w:tc>
          <w:tcPr>
            <w:tcW w:w="4920" w:type="dxa"/>
          </w:tcPr>
          <w:p>
            <w:pPr/>
            <w:r>
              <w:t xml:space="preserve">A PDF of 6 months of checked bills and upgrade estimates; the owner approves, edits or cancels</w:t>
            </w:r>
          </w:p>
        </w:tc>
        <w:tc>
          <w:tcPr>
            <w:tcW w:w="2109" w:type="dxa"/>
          </w:tcPr>
          <w:p>
            <w:pPr/>
            <w:r>
              <w:t xml:space="preserve">SME owner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F5</w:t>
            </w:r>
          </w:p>
        </w:tc>
        <w:tc>
          <w:tcPr>
            <w:tcW w:w="1611" w:type="dxa"/>
          </w:tcPr>
          <w:p>
            <w:pPr/>
            <w:r>
              <w:t xml:space="preserve">Opportunity Board</w:t>
            </w:r>
          </w:p>
        </w:tc>
        <w:tc>
          <w:tcPr>
            <w:tcW w:w="4920" w:type="dxa"/>
          </w:tcPr>
          <w:p>
            <w:pPr/>
            <w:r>
              <w:t xml:space="preserve">Anonymous listing; investors see a criteria match and a repayment check on their own terms; suppliers see listings in their category and area</w:t>
            </w:r>
          </w:p>
        </w:tc>
        <w:tc>
          <w:tcPr>
            <w:tcW w:w="2109" w:type="dxa"/>
          </w:tcPr>
          <w:p>
            <w:pPr/>
            <w:r>
              <w:t xml:space="preserve">Investor, supplier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F6</w:t>
            </w:r>
          </w:p>
        </w:tc>
        <w:tc>
          <w:tcPr>
            <w:tcW w:w="1611" w:type="dxa"/>
          </w:tcPr>
          <w:p>
            <w:pPr/>
            <w:r>
              <w:t xml:space="preserve">Consent-based connection</w:t>
            </w:r>
          </w:p>
        </w:tc>
        <w:tc>
          <w:tcPr>
            <w:tcW w:w="4920" w:type="dxa"/>
          </w:tcPr>
          <w:p>
            <w:pPr/>
            <w:r>
              <w:t xml:space="preserve">Request → owner accepts or declines → details unlock; draft Expression of Interest (investor) or outreach proposal (supplier)</w:t>
            </w:r>
          </w:p>
        </w:tc>
        <w:tc>
          <w:tcPr>
            <w:tcW w:w="2109" w:type="dxa"/>
          </w:tcPr>
          <w:p>
            <w:pPr/>
            <w:r>
              <w:t xml:space="preserve">All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F7</w:t>
            </w:r>
          </w:p>
        </w:tc>
        <w:tc>
          <w:tcPr>
            <w:tcW w:w="1611" w:type="dxa"/>
          </w:tcPr>
          <w:p>
            <w:pPr/>
            <w:r>
              <w:t xml:space="preserve">Roles and activity log</w:t>
            </w:r>
          </w:p>
        </w:tc>
        <w:tc>
          <w:tcPr>
            <w:tcW w:w="4920" w:type="dxa"/>
          </w:tcPr>
          <w:p>
            <w:pPr/>
            <w:r>
              <w:t xml:space="preserve">Uses Orbyte's login, roles and audit log; every upload, approval and request is recorded</w:t>
            </w:r>
          </w:p>
        </w:tc>
        <w:tc>
          <w:tcPr>
            <w:tcW w:w="2109" w:type="dxa"/>
          </w:tcPr>
          <w:p>
            <w:pPr/>
            <w:r>
              <w:t xml:space="preserve">All</w:t>
            </w:r>
          </w:p>
        </w:tc>
      </w:tr>
    </w:tbl>
    <w:p>
      <w:pPr/>
      <w:r>
        <w:rPr>
          <w:b/>
        </w:rPr>
        <w:t xml:space="preserve">Scope: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In scope (prototype)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Out of scope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TNB bills in Peninsular Malaysia (Low Voltage general and domestic tariffs)</w:t>
            </w:r>
          </w:p>
        </w:tc>
        <w:tc>
          <w:tcPr>
            <w:tcW w:w="4440" w:type="dxa"/>
          </w:tcPr>
          <w:p>
            <w:pPr/>
            <w:r>
              <w:t xml:space="preserve">Sabah and Sarawak tariffs, smart-meter feeds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Three upgrades: LED, inverter aircon, rooftop solar</w:t>
            </w:r>
          </w:p>
        </w:tc>
        <w:tc>
          <w:tcPr>
            <w:tcW w:w="4440" w:type="dxa"/>
          </w:tcPr>
          <w:p>
            <w:pPr/>
            <w:r>
              <w:t xml:space="preserve">Motors, chillers, refrigeration (see Future Enhancement)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SME, investor and supplier dashboards with owner approval</w:t>
            </w:r>
          </w:p>
        </w:tc>
        <w:tc>
          <w:tcPr>
            <w:tcW w:w="4440" w:type="dxa"/>
          </w:tcPr>
          <w:p>
            <w:pPr/>
            <w:r>
              <w:t xml:space="preserve">Loan applications, credit scores, ratings or financial advice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Non-binding EOI and indicative outreach proposals</w:t>
            </w:r>
          </w:p>
        </w:tc>
        <w:tc>
          <w:tcPr>
            <w:tcW w:w="4440" w:type="dxa"/>
          </w:tcPr>
          <w:p>
            <w:pPr/>
            <w:r>
              <w:t xml:space="preserve">Loans, deposits or upgrade payments moving through the platform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Free credit, pay-per-use and membership billing on synthetic company, bank and supplier data</w:t>
            </w:r>
          </w:p>
        </w:tc>
        <w:tc>
          <w:tcPr>
            <w:tcW w:w="4440" w:type="dxa"/>
          </w:tcPr>
          <w:p>
            <w:pPr/>
            <w:r>
              <w:t xml:space="preserve">Real customer data, firm quotations and contracts</w:t>
            </w:r>
          </w:p>
        </w:tc>
      </w:tr>
    </w:tbl>
    <w:p>
      <w:pPr>
        <w:pStyle w:val="Heading2"/>
      </w:pPr>
      <w:r>
        <w:t xml:space="preserve">3. Innovation: Product Uniqueness</w:t>
      </w:r>
    </w:p>
    <w:p>
      <w:pPr/>
      <w:r>
        <w:t xml:space="preserve">Similar tools exist, so GreenReady does not claim to be the only one. What stands out is the combination: a fair, seller-free comparison of every upgrade, built on a checked bill, with privacy-first matching inside the business hub SMEs already use.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Fair comparison (most important).</w:t>
      </w:r>
      <w:r>
        <w:t xml:space="preserve"> LED, inverter aircon and solar use the same formulas, so the SME sees which upgrade really pays back first. Sellers' tools usually push their own product.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Numbers you can trust.</w:t>
      </w:r>
      <w:r>
        <w:t xml:space="preserve"> AI only reads the documents. Fixed rules do every savings and carbon calculation and check each bill line against the official tariff, so the same inputs always give the same answer.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Easy to start.</w:t>
      </w:r>
      <w:r>
        <w:t xml:space="preserve"> One TNB bill is enough — no ESG report, audited accounts or consultant. A quote is optional.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Private and fair matching.</w:t>
      </w:r>
      <w:r>
        <w:t xml:space="preserve"> The SME's name stays hidden until both sides agree to connect. Every investor and supplier gets the same fair chance, and listings are designed around Malaysia's PDPA principles.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Built into Orbyte.</w:t>
      </w:r>
      <w:r>
        <w:t xml:space="preserve"> It uses the SME's existing profile, roles and activity log, so there is no new app to learn.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4"/>
        <w:gridCol w:w="3368"/>
        <w:gridCol w:w="3658"/>
      </w:tblGrid>
      <w:tr>
        <w:trPr>
          <w:tblHeader/>
        </w:trPr>
        <w:tc>
          <w:tcPr>
            <w:tcW w:w="2334" w:type="dxa"/>
            <w:shd w:val="clear" w:color="auto" w:fill="F2F2F2"/>
          </w:tcPr>
          <w:p>
            <w:pPr/>
            <w:r>
              <w:t xml:space="preserve">Existing option</w:t>
            </w:r>
          </w:p>
        </w:tc>
        <w:tc>
          <w:tcPr>
            <w:tcW w:w="3368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658" w:type="dxa"/>
            <w:shd w:val="clear" w:color="auto" w:fill="F2F2F2"/>
          </w:tcPr>
          <w:p>
            <w:pPr/>
            <w:r>
              <w:t xml:space="preserve">Gap GreenReady fills</w:t>
            </w:r>
          </w:p>
        </w:tc>
      </w:tr>
      <w:tr>
        <w:tc>
          <w:tcPr>
            <w:tcW w:w="2334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Trexon bill analyzer</w:t>
              </w:r>
            </w:hyperlink>
          </w:p>
        </w:tc>
        <w:tc>
          <w:tcPr>
            <w:tcW w:w="3368" w:type="dxa"/>
          </w:tcPr>
          <w:p>
            <w:pPr/>
            <w:r>
              <w:t xml:space="preserve">Reads a TNB bill (also via WhatsApp) and recommends a solar system</w:t>
            </w:r>
          </w:p>
        </w:tc>
        <w:tc>
          <w:tcPr>
            <w:tcW w:w="3658" w:type="dxa"/>
          </w:tcPr>
          <w:p>
            <w:pPr/>
            <w:r>
              <w:t xml:space="preserve">A solar seller's funnel; one product; no owner approval or audit log</w:t>
            </w:r>
          </w:p>
        </w:tc>
      </w:tr>
      <w:tr>
        <w:tc>
          <w:tcPr>
            <w:tcW w:w="2334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buySolar</w:t>
              </w:r>
            </w:hyperlink>
          </w:p>
        </w:tc>
        <w:tc>
          <w:tcPr>
            <w:tcW w:w="3368" w:type="dxa"/>
          </w:tcPr>
          <w:p>
            <w:pPr/>
            <w:r>
              <w:t xml:space="preserve">Solar marketplace with installer choice and bank financing</w:t>
            </w:r>
          </w:p>
        </w:tc>
        <w:tc>
          <w:tcPr>
            <w:tcW w:w="3658" w:type="dxa"/>
          </w:tcPr>
          <w:p>
            <w:pPr/>
            <w:r>
              <w:t xml:space="preserve">Solar only; no bill checking or other upgrades</w:t>
            </w:r>
          </w:p>
        </w:tc>
      </w:tr>
      <w:tr>
        <w:tc>
          <w:tcPr>
            <w:tcW w:w="2334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UOB U-Energy</w:t>
              </w:r>
            </w:hyperlink>
          </w:p>
        </w:tc>
        <w:tc>
          <w:tcPr>
            <w:tcW w:w="3368" w:type="dxa"/>
          </w:tcPr>
          <w:p>
            <w:pPr/>
            <w:r>
              <w:t xml:space="preserve">One bank's energy-efficiency financing via ESCOs</w:t>
            </w:r>
          </w:p>
        </w:tc>
        <w:tc>
          <w:tcPr>
            <w:tcW w:w="3658" w:type="dxa"/>
          </w:tcPr>
          <w:p>
            <w:pPr/>
            <w:r>
              <w:t xml:space="preserve">Single lender; SME still prepares its own evidence</w:t>
            </w:r>
          </w:p>
        </w:tc>
      </w:tr>
      <w:tr>
        <w:tc>
          <w:tcPr>
            <w:tcW w:w="2334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myTNB app</w:t>
              </w:r>
            </w:hyperlink>
          </w:p>
        </w:tc>
        <w:tc>
          <w:tcPr>
            <w:tcW w:w="3368" w:type="dxa"/>
          </w:tcPr>
          <w:p>
            <w:pPr/>
            <w:r>
              <w:t xml:space="preserve">Usage tracking and bill estimates</w:t>
            </w:r>
          </w:p>
        </w:tc>
        <w:tc>
          <w:tcPr>
            <w:tcW w:w="3658" w:type="dxa"/>
          </w:tcPr>
          <w:p>
            <w:pPr/>
            <w:r>
              <w:t xml:space="preserve">Monitoring only; no upgrade comparison, investors or suppliers</w:t>
            </w:r>
          </w:p>
        </w:tc>
      </w:tr>
    </w:tbl>
    <w:p>
      <w:pPr>
        <w:pStyle w:val="Heading2"/>
      </w:pPr>
      <w:r>
        <w:t xml:space="preserve">4. System Architecture and Tech Stack</w:t>
      </w:r>
    </w:p>
    <w:p>
      <w:pPr/>
      <w:r>
        <w:rPr>
          <w:i/>
        </w:rPr>
        <w:t xml:space="preserve">To be completed by [teammate].</w:t>
      </w:r>
    </w:p>
    <w:p>
      <w:pPr>
        <w:pStyle w:val="Heading2"/>
      </w:pPr>
      <w:r>
        <w:t xml:space="preserve">5. Impact and Sustainability Value</w:t>
      </w:r>
    </w:p>
    <w:p>
      <w:pPr/>
      <w:r>
        <w:t xml:space="preserve">GreenReady's main impact is productivity for small firms (SDG 8), with lower energy use and emissions as co-benefits. Over five years the model projects about 169,700 bill checks, 63,700 admin hours saved and 562 completed upgrades.</w:t>
      </w:r>
    </w:p>
    <w:p>
      <w:pPr/>
      <w:r>
        <w:rPr>
          <w:b/>
        </w:rPr>
        <w:t xml:space="preserve">Impact of one typical upgrade: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2"/>
        <w:gridCol w:w="1828"/>
        <w:gridCol w:w="1792"/>
        <w:gridCol w:w="1859"/>
        <w:gridCol w:w="1187"/>
      </w:tblGrid>
      <w:tr>
        <w:trPr>
          <w:tblHeader/>
        </w:trPr>
        <w:tc>
          <w:tcPr>
            <w:tcW w:w="2692" w:type="dxa"/>
            <w:shd w:val="clear" w:color="auto" w:fill="F2F2F2"/>
          </w:tcPr>
          <w:p>
            <w:pPr/>
            <w:r>
              <w:t xml:space="preserve">Upgrade</w:t>
            </w:r>
          </w:p>
        </w:tc>
        <w:tc>
          <w:tcPr>
            <w:tcW w:w="1828" w:type="dxa"/>
            <w:shd w:val="clear" w:color="auto" w:fill="F2F2F2"/>
          </w:tcPr>
          <w:p>
            <w:pPr/>
            <w:r>
              <w:t xml:space="preserve">kWh saved / year</w:t>
            </w:r>
          </w:p>
        </w:tc>
        <w:tc>
          <w:tcPr>
            <w:tcW w:w="1792" w:type="dxa"/>
            <w:shd w:val="clear" w:color="auto" w:fill="F2F2F2"/>
          </w:tcPr>
          <w:p>
            <w:pPr/>
            <w:r>
              <w:t xml:space="preserve">RM saved / year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CO2e avoided / year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Payback</w:t>
            </w:r>
          </w:p>
        </w:tc>
      </w:tr>
      <w:tr>
        <w:tc>
          <w:tcPr>
            <w:tcW w:w="2692" w:type="dxa"/>
          </w:tcPr>
          <w:p>
            <w:pPr/>
            <w:r>
              <w:t xml:space="preserve">LED lighting (40 tubes)</w:t>
            </w:r>
          </w:p>
        </w:tc>
        <w:tc>
          <w:tcPr>
            <w:tcW w:w="1828" w:type="dxa"/>
          </w:tcPr>
          <w:p>
            <w:pPr/>
            <w:r>
              <w:t xml:space="preserve">2,696</w:t>
            </w:r>
          </w:p>
        </w:tc>
        <w:tc>
          <w:tcPr>
            <w:tcW w:w="1792" w:type="dxa"/>
          </w:tcPr>
          <w:p>
            <w:pPr/>
            <w:r>
              <w:t xml:space="preserve">1,366</w:t>
            </w:r>
          </w:p>
        </w:tc>
        <w:tc>
          <w:tcPr>
            <w:tcW w:w="1859" w:type="dxa"/>
          </w:tcPr>
          <w:p>
            <w:pPr/>
            <w:r>
              <w:t xml:space="preserve">2.0 t</w:t>
            </w:r>
          </w:p>
        </w:tc>
        <w:tc>
          <w:tcPr>
            <w:tcW w:w="1187" w:type="dxa"/>
          </w:tcPr>
          <w:p>
            <w:pPr/>
            <w:r>
              <w:t xml:space="preserve">1.2 years</w:t>
            </w:r>
          </w:p>
        </w:tc>
      </w:tr>
      <w:tr>
        <w:tc>
          <w:tcPr>
            <w:tcW w:w="2692" w:type="dxa"/>
          </w:tcPr>
          <w:p>
            <w:pPr/>
            <w:r>
              <w:t xml:space="preserve">Inverter aircon (3 units)</w:t>
            </w:r>
          </w:p>
        </w:tc>
        <w:tc>
          <w:tcPr>
            <w:tcW w:w="1828" w:type="dxa"/>
          </w:tcPr>
          <w:p>
            <w:pPr/>
            <w:r>
              <w:t xml:space="preserve">3,151</w:t>
            </w:r>
          </w:p>
        </w:tc>
        <w:tc>
          <w:tcPr>
            <w:tcW w:w="1792" w:type="dxa"/>
          </w:tcPr>
          <w:p>
            <w:pPr/>
            <w:r>
              <w:t xml:space="preserve">1,597</w:t>
            </w:r>
          </w:p>
        </w:tc>
        <w:tc>
          <w:tcPr>
            <w:tcW w:w="1859" w:type="dxa"/>
          </w:tcPr>
          <w:p>
            <w:pPr/>
            <w:r>
              <w:t xml:space="preserve">2.3 t</w:t>
            </w:r>
          </w:p>
        </w:tc>
        <w:tc>
          <w:tcPr>
            <w:tcW w:w="1187" w:type="dxa"/>
          </w:tcPr>
          <w:p>
            <w:pPr/>
            <w:r>
              <w:t xml:space="preserve">4.1 years</w:t>
            </w:r>
          </w:p>
        </w:tc>
      </w:tr>
      <w:tr>
        <w:tc>
          <w:tcPr>
            <w:tcW w:w="2692" w:type="dxa"/>
          </w:tcPr>
          <w:p>
            <w:pPr/>
            <w:r>
              <w:t xml:space="preserve">Rooftop solar (30 kWp)</w:t>
            </w:r>
          </w:p>
        </w:tc>
        <w:tc>
          <w:tcPr>
            <w:tcW w:w="1828" w:type="dxa"/>
          </w:tcPr>
          <w:p>
            <w:pPr/>
            <w:r>
              <w:t xml:space="preserve">39,600</w:t>
            </w:r>
          </w:p>
        </w:tc>
        <w:tc>
          <w:tcPr>
            <w:tcW w:w="1792" w:type="dxa"/>
          </w:tcPr>
          <w:p>
            <w:pPr/>
            <w:r>
              <w:t xml:space="preserve">20,069</w:t>
            </w:r>
          </w:p>
        </w:tc>
        <w:tc>
          <w:tcPr>
            <w:tcW w:w="1859" w:type="dxa"/>
          </w:tcPr>
          <w:p>
            <w:pPr/>
            <w:r>
              <w:t xml:space="preserve">29.3 t</w:t>
            </w:r>
          </w:p>
        </w:tc>
        <w:tc>
          <w:tcPr>
            <w:tcW w:w="1187" w:type="dxa"/>
          </w:tcPr>
          <w:p>
            <w:pPr/>
            <w:r>
              <w:t xml:space="preserve">3.0 years</w:t>
            </w:r>
          </w:p>
        </w:tc>
      </w:tr>
    </w:tbl>
    <w:p>
      <w:pPr/>
      <w:r>
        <w:t xml:space="preserve">Calculated from published rates: TNB tariff [4], inverter saving 33% [6], LED 18 W vs 36 W (a 2026 Malaysian retrofit measured 44.7% savings) [7], solar yield 1,320 kWh/kWp, between recent Malaysian results of 1,204 and about 1,370 [8]. Savings exclude the AFA fuel surcharge (+3.61 sen/kWh in October 2026) [35], so they are conservative.</w:t>
      </w:r>
    </w:p>
    <w:p>
      <w:pPr/>
      <w:r>
        <w:rPr>
          <w:b/>
        </w:rPr>
        <w:t xml:space="preserve">Five-year impact (from the financial model):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8"/>
        <w:gridCol w:w="1872"/>
        <w:gridCol w:w="4920"/>
      </w:tblGrid>
      <w:tr>
        <w:trPr>
          <w:tblHeader/>
        </w:trPr>
        <w:tc>
          <w:tcPr>
            <w:tcW w:w="2568" w:type="dxa"/>
            <w:shd w:val="clear" w:color="auto" w:fill="F2F2F2"/>
          </w:tcPr>
          <w:p>
            <w:pPr/>
            <w:r>
              <w:t xml:space="preserve">Measure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5-year result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Basis</w:t>
            </w:r>
          </w:p>
        </w:tc>
      </w:tr>
      <w:tr>
        <w:tc>
          <w:tcPr>
            <w:tcW w:w="2568" w:type="dxa"/>
          </w:tcPr>
          <w:p>
            <w:pPr/>
            <w:r>
              <w:t xml:space="preserve">Bill checks automated</w:t>
            </w:r>
          </w:p>
        </w:tc>
        <w:tc>
          <w:tcPr>
            <w:tcW w:w="1872" w:type="dxa"/>
          </w:tcPr>
          <w:p>
            <w:pPr/>
            <w:r>
              <w:t xml:space="preserve">169,728</w:t>
            </w:r>
          </w:p>
        </w:tc>
        <w:tc>
          <w:tcPr>
            <w:tcW w:w="4920" w:type="dxa"/>
          </w:tcPr>
          <w:p>
            <w:pPr/>
            <w:r>
              <w:t xml:space="preserve">Members check every bill; pay-per-use SMEs about 60% of months</w:t>
            </w:r>
          </w:p>
        </w:tc>
      </w:tr>
      <w:tr>
        <w:tc>
          <w:tcPr>
            <w:tcW w:w="2568" w:type="dxa"/>
          </w:tcPr>
          <w:p>
            <w:pPr/>
            <w:r>
              <w:t xml:space="preserve">Admin hours saved</w:t>
            </w:r>
          </w:p>
        </w:tc>
        <w:tc>
          <w:tcPr>
            <w:tcW w:w="1872" w:type="dxa"/>
          </w:tcPr>
          <w:p>
            <w:pPr/>
            <w:r>
              <w:t xml:space="preserve">~63,700 hours</w:t>
            </w:r>
          </w:p>
        </w:tc>
        <w:tc>
          <w:tcPr>
            <w:tcW w:w="4920" w:type="dxa"/>
          </w:tcPr>
          <w:p>
            <w:pPr/>
            <w:r>
              <w:t xml:space="preserve">Target times to be confirmed in our user test</w:t>
            </w:r>
          </w:p>
        </w:tc>
      </w:tr>
      <w:tr>
        <w:tc>
          <w:tcPr>
            <w:tcW w:w="2568" w:type="dxa"/>
          </w:tcPr>
          <w:p>
            <w:pPr/>
            <w:r>
              <w:t xml:space="preserve">Value created for customers</w:t>
            </w:r>
          </w:p>
        </w:tc>
        <w:tc>
          <w:tcPr>
            <w:tcW w:w="1872" w:type="dxa"/>
          </w:tcPr>
          <w:p>
            <w:pPr/>
            <w:r>
              <w:t xml:space="preserve">RM1.69 million</w:t>
            </w:r>
          </w:p>
        </w:tc>
        <w:tc>
          <w:tcPr>
            <w:tcW w:w="4920" w:type="dxa"/>
          </w:tcPr>
          <w:p>
            <w:pPr/>
            <w:r>
              <w:t xml:space="preserve">Time saved + 25% of upgrade savings credited to GreenReady</w:t>
            </w:r>
          </w:p>
        </w:tc>
      </w:tr>
      <w:tr>
        <w:tc>
          <w:tcPr>
            <w:tcW w:w="2568" w:type="dxa"/>
          </w:tcPr>
          <w:p>
            <w:pPr/>
            <w:r>
              <w:t xml:space="preserve">Upgrades completed</w:t>
            </w:r>
          </w:p>
        </w:tc>
        <w:tc>
          <w:tcPr>
            <w:tcW w:w="1872" w:type="dxa"/>
          </w:tcPr>
          <w:p>
            <w:pPr/>
            <w:r>
              <w:t xml:space="preserve">562</w:t>
            </w:r>
          </w:p>
        </w:tc>
        <w:tc>
          <w:tcPr>
            <w:tcW w:w="4920" w:type="dxa"/>
          </w:tcPr>
          <w:p>
            <w:pPr/>
            <w:r>
              <w:t xml:space="preserve">26% of listings a year [12]</w:t>
            </w:r>
          </w:p>
        </w:tc>
      </w:tr>
      <w:tr>
        <w:tc>
          <w:tcPr>
            <w:tcW w:w="2568" w:type="dxa"/>
          </w:tcPr>
          <w:p>
            <w:pPr/>
            <w:r>
              <w:t xml:space="preserve">CO2e avoided (credited share)</w:t>
            </w:r>
          </w:p>
        </w:tc>
        <w:tc>
          <w:tcPr>
            <w:tcW w:w="1872" w:type="dxa"/>
          </w:tcPr>
          <w:p>
            <w:pPr/>
            <w:r>
              <w:t xml:space="preserve">~1,180 t</w:t>
            </w:r>
          </w:p>
        </w:tc>
        <w:tc>
          <w:tcPr>
            <w:tcW w:w="4920" w:type="dxa"/>
          </w:tcPr>
          <w:p>
            <w:pPr/>
            <w:r>
              <w:t xml:space="preserve">Only 25% of upgrade savings is claimed, to stay conservative</w:t>
            </w:r>
          </w:p>
        </w:tc>
      </w:tr>
    </w:tbl>
    <w:p>
      <w:pPr/>
      <w:r>
        <w:rPr>
          <w:b/>
        </w:rPr>
        <w:t xml:space="preserve">Measured in the demo:</w:t>
      </w:r>
      <w:r>
        <w:t xml:space="preserve"> time to check one bill (manual vs GreenReady), extraction accuracy on 10 test bills, and the 8 bill checks — our sample TNB bill already passes 8 of 8.</w:t>
      </w:r>
    </w:p>
    <w:p>
      <w:pPr>
        <w:pStyle w:val="Heading2"/>
      </w:pPr>
      <w:r>
        <w:t xml:space="preserve">6. Feasibility: Market Value, ROI, Business Model</w:t>
      </w:r>
    </w:p>
    <w:p>
      <w:pPr/>
      <w:r>
        <w:t xml:space="preserve">GreenReady is a small, low-cost module on an existing platform: it needs only 0.2% of the serviceable market in Year 1, breaks even in Year 2, and its main costs are people, not technology.</w:t>
      </w:r>
    </w:p>
    <w:p>
      <w:pPr>
        <w:pStyle w:val="Heading3"/>
      </w:pPr>
      <w:r>
        <w:t xml:space="preserve">Market value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2"/>
        <w:gridCol w:w="4920"/>
        <w:gridCol w:w="2178"/>
      </w:tblGrid>
      <w:tr>
        <w:trPr>
          <w:tblHeader/>
        </w:trPr>
        <w:tc>
          <w:tcPr>
            <w:tcW w:w="2262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Definition</w:t>
            </w:r>
          </w:p>
        </w:tc>
        <w:tc>
          <w:tcPr>
            <w:tcW w:w="2178" w:type="dxa"/>
            <w:shd w:val="clear" w:color="auto" w:fill="F2F2F2"/>
          </w:tcPr>
          <w:p>
            <w:pPr/>
            <w:r>
              <w:t xml:space="preserve">Size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Total market</w:t>
            </w:r>
          </w:p>
        </w:tc>
        <w:tc>
          <w:tcPr>
            <w:tcW w:w="4920" w:type="dxa"/>
          </w:tcPr>
          <w:p>
            <w:pPr/>
            <w:r>
              <w:t xml:space="preserve">Micro and small enterprises in Malaysia [1]</w:t>
            </w:r>
          </w:p>
        </w:tc>
        <w:tc>
          <w:tcPr>
            <w:tcW w:w="2178" w:type="dxa"/>
          </w:tcPr>
          <w:p>
            <w:pPr/>
            <w:r>
              <w:t xml:space="preserve">1,081,886 firms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Serviceable market</w:t>
            </w:r>
          </w:p>
        </w:tc>
        <w:tc>
          <w:tcPr>
            <w:tcW w:w="4920" w:type="dxa"/>
          </w:tcPr>
          <w:p>
            <w:pPr/>
            <w:r>
              <w:t xml:space="preserve">Manufacturing MSMEs + F&amp;B establishments [1][2]</w:t>
            </w:r>
          </w:p>
        </w:tc>
        <w:tc>
          <w:tcPr>
            <w:tcW w:w="2178" w:type="dxa"/>
          </w:tcPr>
          <w:p>
            <w:pPr/>
            <w:r>
              <w:t xml:space="preserve">195,769 firms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Year-1 pilot</w:t>
            </w:r>
          </w:p>
        </w:tc>
        <w:tc>
          <w:tcPr>
            <w:tcW w:w="4920" w:type="dxa"/>
          </w:tcPr>
          <w:p>
            <w:pPr/>
            <w:r>
              <w:t xml:space="preserve">Half of the 600+ SMEs one bank engaged in a quarter [14]</w:t>
            </w:r>
          </w:p>
        </w:tc>
        <w:tc>
          <w:tcPr>
            <w:tcW w:w="2178" w:type="dxa"/>
          </w:tcPr>
          <w:p>
            <w:pPr/>
            <w:r>
              <w:t xml:space="preserve">300 SMEs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Year-5 target</w:t>
            </w:r>
          </w:p>
        </w:tc>
        <w:tc>
          <w:tcPr>
            <w:tcW w:w="4920" w:type="dxa"/>
          </w:tcPr>
          <w:p>
            <w:pPr/>
            <w:r>
              <w:t xml:space="preserve">Reached through Orbyte's existing SME users</w:t>
            </w:r>
          </w:p>
        </w:tc>
        <w:tc>
          <w:tcPr>
            <w:tcW w:w="2178" w:type="dxa"/>
          </w:tcPr>
          <w:p>
            <w:pPr/>
            <w:r>
              <w:t xml:space="preserve">10,000 SMEs (5.1% of serviceable)</w:t>
            </w:r>
          </w:p>
        </w:tc>
      </w:tr>
    </w:tbl>
    <w:p>
      <w:pPr>
        <w:pStyle w:val="Heading3"/>
      </w:pPr>
      <w:r>
        <w:t xml:space="preserve">ROI</w:t>
      </w:r>
    </w:p>
    <w:p>
      <w:pPr/>
      <w:r>
        <w:drawing>
          <wp:inline distT="0" distB="0" distL="0" distR="0">
            <wp:extent cx="5486400" cy="2294164"/>
            <wp:docPr id="2" name="image2" descr="GreenReady financial projection, ROI sheet rows Y1–Y5 (base case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GreenReady financial projection, ROI sheet rows Y1–Y5 (base case)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GreenReady financial projection, ROI sheet rows Y1–Y5 (base case)</w:t>
      </w:r>
    </w:p>
    <w:p>
      <w:pPr/>
      <w:r>
        <w:t xml:space="preserve">Year 1 is a small investment year; the cumulative position turns positive in Year 2 and customers gain more than they pay from Year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51"/>
        <w:gridCol w:w="1886"/>
        <w:gridCol w:w="1736"/>
        <w:gridCol w:w="2868"/>
        <w:gridCol w:w="2016"/>
      </w:tblGrid>
      <w:tr>
        <w:trPr>
          <w:tblHeader/>
        </w:trPr>
        <w:tc>
          <w:tcPr>
            <w:tcW w:w="851" w:type="dxa"/>
            <w:shd w:val="clear" w:color="auto" w:fill="F2F2F2"/>
          </w:tcPr>
          <w:p>
            <w:pPr/>
            <w:r>
              <w:t xml:space="preserve">Year</w:t>
            </w:r>
          </w:p>
        </w:tc>
        <w:tc>
          <w:tcPr>
            <w:tcW w:w="1886" w:type="dxa"/>
            <w:shd w:val="clear" w:color="auto" w:fill="F2F2F2"/>
          </w:tcPr>
          <w:p>
            <w:pPr/>
            <w:r>
              <w:t xml:space="preserve">Income (RM)</w:t>
            </w:r>
          </w:p>
        </w:tc>
        <w:tc>
          <w:tcPr>
            <w:tcW w:w="1736" w:type="dxa"/>
            <w:shd w:val="clear" w:color="auto" w:fill="F2F2F2"/>
          </w:tcPr>
          <w:p>
            <w:pPr/>
            <w:r>
              <w:t xml:space="preserve">Spend (RM)</w:t>
            </w:r>
          </w:p>
        </w:tc>
        <w:tc>
          <w:tcPr>
            <w:tcW w:w="2868" w:type="dxa"/>
            <w:shd w:val="clear" w:color="auto" w:fill="F2F2F2"/>
          </w:tcPr>
          <w:p>
            <w:pPr/>
            <w:r>
              <w:t xml:space="preserve">Cumulative net (RM)</w:t>
            </w:r>
          </w:p>
        </w:tc>
        <w:tc>
          <w:tcPr>
            <w:tcW w:w="2016" w:type="dxa"/>
            <w:shd w:val="clear" w:color="auto" w:fill="F2F2F2"/>
          </w:tcPr>
          <w:p>
            <w:pPr/>
            <w:r>
              <w:t xml:space="preserve">Customer ROI</w:t>
            </w:r>
          </w:p>
        </w:tc>
      </w:tr>
      <w:tr>
        <w:tc>
          <w:tcPr>
            <w:tcW w:w="851" w:type="dxa"/>
          </w:tcPr>
          <w:p>
            <w:pPr/>
            <w:r>
              <w:t xml:space="preserve">Y1</w:t>
            </w:r>
          </w:p>
        </w:tc>
        <w:tc>
          <w:tcPr>
            <w:tcW w:w="1886" w:type="dxa"/>
          </w:tcPr>
          <w:p>
            <w:pPr/>
            <w:r>
              <w:t xml:space="preserve">196,296</w:t>
            </w:r>
          </w:p>
        </w:tc>
        <w:tc>
          <w:tcPr>
            <w:tcW w:w="1736" w:type="dxa"/>
          </w:tcPr>
          <w:p>
            <w:pPr/>
            <w:r>
              <w:t xml:space="preserve">211,209</w:t>
            </w:r>
          </w:p>
        </w:tc>
        <w:tc>
          <w:tcPr>
            <w:tcW w:w="2868" w:type="dxa"/>
          </w:tcPr>
          <w:p>
            <w:pPr/>
            <w:r>
              <w:t xml:space="preserve">(14,913)</w:t>
            </w:r>
          </w:p>
        </w:tc>
        <w:tc>
          <w:tcPr>
            <w:tcW w:w="2016" w:type="dxa"/>
          </w:tcPr>
          <w:p>
            <w:pPr/>
            <w:r>
              <w:t xml:space="preserve">55%</w:t>
            </w:r>
          </w:p>
        </w:tc>
      </w:tr>
      <w:tr>
        <w:tc>
          <w:tcPr>
            <w:tcW w:w="851" w:type="dxa"/>
          </w:tcPr>
          <w:p>
            <w:pPr/>
            <w:r>
              <w:t xml:space="preserve">Y2</w:t>
            </w:r>
          </w:p>
        </w:tc>
        <w:tc>
          <w:tcPr>
            <w:tcW w:w="1886" w:type="dxa"/>
          </w:tcPr>
          <w:p>
            <w:pPr/>
            <w:r>
              <w:t xml:space="preserve">292,720</w:t>
            </w:r>
          </w:p>
        </w:tc>
        <w:tc>
          <w:tcPr>
            <w:tcW w:w="1736" w:type="dxa"/>
          </w:tcPr>
          <w:p>
            <w:pPr/>
            <w:r>
              <w:t xml:space="preserve">257,535</w:t>
            </w:r>
          </w:p>
        </w:tc>
        <w:tc>
          <w:tcPr>
            <w:tcW w:w="2868" w:type="dxa"/>
          </w:tcPr>
          <w:p>
            <w:pPr/>
            <w:r>
              <w:t xml:space="preserve">20,272</w:t>
            </w:r>
          </w:p>
        </w:tc>
        <w:tc>
          <w:tcPr>
            <w:tcW w:w="2016" w:type="dxa"/>
          </w:tcPr>
          <w:p>
            <w:pPr/>
            <w:r>
              <w:t xml:space="preserve">38%</w:t>
            </w:r>
          </w:p>
        </w:tc>
      </w:tr>
      <w:tr>
        <w:tc>
          <w:tcPr>
            <w:tcW w:w="851" w:type="dxa"/>
          </w:tcPr>
          <w:p>
            <w:pPr/>
            <w:r>
              <w:t xml:space="preserve">Y3</w:t>
            </w:r>
          </w:p>
        </w:tc>
        <w:tc>
          <w:tcPr>
            <w:tcW w:w="1886" w:type="dxa"/>
          </w:tcPr>
          <w:p>
            <w:pPr/>
            <w:r>
              <w:t xml:space="preserve">519,760</w:t>
            </w:r>
          </w:p>
        </w:tc>
        <w:tc>
          <w:tcPr>
            <w:tcW w:w="1736" w:type="dxa"/>
          </w:tcPr>
          <w:p>
            <w:pPr/>
            <w:r>
              <w:t xml:space="preserve">324,986</w:t>
            </w:r>
          </w:p>
        </w:tc>
        <w:tc>
          <w:tcPr>
            <w:tcW w:w="2868" w:type="dxa"/>
          </w:tcPr>
          <w:p>
            <w:pPr/>
            <w:r>
              <w:t xml:space="preserve">215,046</w:t>
            </w:r>
          </w:p>
        </w:tc>
        <w:tc>
          <w:tcPr>
            <w:tcW w:w="2016" w:type="dxa"/>
          </w:tcPr>
          <w:p>
            <w:pPr/>
            <w:r>
              <w:t xml:space="preserve">26%</w:t>
            </w:r>
          </w:p>
        </w:tc>
      </w:tr>
      <w:tr>
        <w:tc>
          <w:tcPr>
            <w:tcW w:w="851" w:type="dxa"/>
          </w:tcPr>
          <w:p>
            <w:pPr/>
            <w:r>
              <w:t xml:space="preserve">Y4</w:t>
            </w:r>
          </w:p>
        </w:tc>
        <w:tc>
          <w:tcPr>
            <w:tcW w:w="1886" w:type="dxa"/>
          </w:tcPr>
          <w:p>
            <w:pPr/>
            <w:r>
              <w:t xml:space="preserve">861,520</w:t>
            </w:r>
          </w:p>
        </w:tc>
        <w:tc>
          <w:tcPr>
            <w:tcW w:w="1736" w:type="dxa"/>
          </w:tcPr>
          <w:p>
            <w:pPr/>
            <w:r>
              <w:t xml:space="preserve">462,279</w:t>
            </w:r>
          </w:p>
        </w:tc>
        <w:tc>
          <w:tcPr>
            <w:tcW w:w="2868" w:type="dxa"/>
          </w:tcPr>
          <w:p>
            <w:pPr/>
            <w:r>
              <w:t xml:space="preserve">614,287</w:t>
            </w:r>
          </w:p>
        </w:tc>
        <w:tc>
          <w:tcPr>
            <w:tcW w:w="2016" w:type="dxa"/>
          </w:tcPr>
          <w:p>
            <w:pPr/>
            <w:r>
              <w:t xml:space="preserve">36%</w:t>
            </w:r>
          </w:p>
        </w:tc>
      </w:tr>
      <w:tr>
        <w:tc>
          <w:tcPr>
            <w:tcW w:w="851" w:type="dxa"/>
          </w:tcPr>
          <w:p>
            <w:pPr/>
            <w:r>
              <w:t xml:space="preserve">Y5</w:t>
            </w:r>
          </w:p>
        </w:tc>
        <w:tc>
          <w:tcPr>
            <w:tcW w:w="1886" w:type="dxa"/>
          </w:tcPr>
          <w:p>
            <w:pPr/>
            <w:r>
              <w:t xml:space="preserve">1,338,000</w:t>
            </w:r>
          </w:p>
        </w:tc>
        <w:tc>
          <w:tcPr>
            <w:tcW w:w="1736" w:type="dxa"/>
          </w:tcPr>
          <w:p>
            <w:pPr/>
            <w:r>
              <w:t xml:space="preserve">581,756</w:t>
            </w:r>
          </w:p>
        </w:tc>
        <w:tc>
          <w:tcPr>
            <w:tcW w:w="2868" w:type="dxa"/>
          </w:tcPr>
          <w:p>
            <w:pPr/>
            <w:r>
              <w:t xml:space="preserve">1,370,531</w:t>
            </w:r>
          </w:p>
        </w:tc>
        <w:tc>
          <w:tcPr>
            <w:tcW w:w="2016" w:type="dxa"/>
          </w:tcPr>
          <w:p>
            <w:pPr/>
            <w:r>
              <w:t xml:space="preserve">39%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rPr>
          <w:b/>
        </w:rPr>
        <w:t xml:space="preserve">5-year net profit:</w:t>
      </w:r>
      <w:r>
        <w:t xml:space="preserve"> RM1.37 million; </w:t>
      </w:r>
      <w:r>
        <w:rPr>
          <w:b/>
        </w:rPr>
        <w:t xml:space="preserve">vendor ROI</w:t>
      </w:r>
      <w:r>
        <w:t xml:space="preserve"> 74.6%; </w:t>
      </w:r>
      <w:r>
        <w:rPr>
          <w:b/>
        </w:rPr>
        <w:t xml:space="preserve">Year-5 operating margin</w:t>
      </w:r>
      <w:r>
        <w:t xml:space="preserve"> 56.5%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NPV:</w:t>
      </w:r>
      <w:r>
        <w:t xml:space="preserve"> RM441k at a 30% discount rate, the low end of seed-stage practice (30–45%) [17]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Customer ROI:</w:t>
      </w:r>
      <w:r>
        <w:t xml:space="preserve"> 36% over 5 years and 55% in Year 1 — every RM1 a customer pays returns about RM1.36 of value, counting only time saved and 25% of upgrade savings</w:t>
      </w:r>
    </w:p>
    <w:p>
      <w:pPr>
        <w:pStyle w:val="Heading3"/>
      </w:pPr>
      <w:r>
        <w:t xml:space="preserve">Business model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0"/>
        <w:gridCol w:w="2480"/>
        <w:gridCol w:w="3375"/>
        <w:gridCol w:w="995"/>
      </w:tblGrid>
      <w:tr>
        <w:trPr>
          <w:tblHeader/>
        </w:trPr>
        <w:tc>
          <w:tcPr>
            <w:tcW w:w="2510" w:type="dxa"/>
            <w:shd w:val="clear" w:color="auto" w:fill="F2F2F2"/>
          </w:tcPr>
          <w:p>
            <w:pPr/>
            <w:r>
              <w:t xml:space="preserve">Revenue stream</w:t>
            </w:r>
          </w:p>
        </w:tc>
        <w:tc>
          <w:tcPr>
            <w:tcW w:w="2480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3375" w:type="dxa"/>
            <w:shd w:val="clear" w:color="auto" w:fill="F2F2F2"/>
          </w:tcPr>
          <w:p>
            <w:pPr/>
            <w:r>
              <w:t xml:space="preserve">Who pays</w:t>
            </w:r>
          </w:p>
        </w:tc>
        <w:tc>
          <w:tcPr>
            <w:tcW w:w="995" w:type="dxa"/>
            <w:shd w:val="clear" w:color="auto" w:fill="F2F2F2"/>
          </w:tcPr>
          <w:p>
            <w:pPr/>
            <w:r>
              <w:t xml:space="preserve">Share of 5-yr income</w:t>
            </w:r>
          </w:p>
        </w:tc>
      </w:tr>
      <w:tr>
        <w:tc>
          <w:tcPr>
            <w:tcW w:w="2510" w:type="dxa"/>
          </w:tcPr>
          <w:p>
            <w:pPr/>
            <w:r>
              <w:t xml:space="preserve">Free starting credit</w:t>
            </w:r>
          </w:p>
        </w:tc>
        <w:tc>
          <w:tcPr>
            <w:tcW w:w="2480" w:type="dxa"/>
          </w:tcPr>
          <w:p>
            <w:pPr/>
            <w:r>
              <w:t xml:space="preserve">RM10 once (5 analyses)</w:t>
            </w:r>
          </w:p>
        </w:tc>
        <w:tc>
          <w:tcPr>
            <w:tcW w:w="3375" w:type="dxa"/>
          </w:tcPr>
          <w:p>
            <w:pPr/>
            <w:r>
              <w:t xml:space="preserve">New SME, one account per SSM number</w:t>
            </w:r>
          </w:p>
        </w:tc>
        <w:tc>
          <w:tcPr>
            <w:tcW w:w="99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510" w:type="dxa"/>
          </w:tcPr>
          <w:p>
            <w:pPr/>
            <w:r>
              <w:t xml:space="preserve">Pay per analysis</w:t>
            </w:r>
          </w:p>
        </w:tc>
        <w:tc>
          <w:tcPr>
            <w:tcW w:w="2480" w:type="dxa"/>
          </w:tcPr>
          <w:p>
            <w:pPr/>
            <w:r>
              <w:t xml:space="preserve">RM2 per bill</w:t>
            </w:r>
          </w:p>
        </w:tc>
        <w:tc>
          <w:tcPr>
            <w:tcW w:w="3375" w:type="dxa"/>
          </w:tcPr>
          <w:p>
            <w:pPr/>
            <w:r>
              <w:t xml:space="preserve">SME, after the free credit is used</w:t>
            </w:r>
          </w:p>
        </w:tc>
        <w:tc>
          <w:tcPr>
            <w:tcW w:w="995" w:type="dxa"/>
          </w:tcPr>
          <w:p>
            <w:pPr/>
            <w:r>
              <w:t xml:space="preserve">4%</w:t>
            </w:r>
          </w:p>
        </w:tc>
      </w:tr>
      <w:tr>
        <w:tc>
          <w:tcPr>
            <w:tcW w:w="2510" w:type="dxa"/>
          </w:tcPr>
          <w:p>
            <w:pPr/>
            <w:r>
              <w:t xml:space="preserve">Membership</w:t>
            </w:r>
          </w:p>
        </w:tc>
        <w:tc>
          <w:tcPr>
            <w:tcW w:w="2480" w:type="dxa"/>
          </w:tcPr>
          <w:p>
            <w:pPr/>
            <w:r>
              <w:t xml:space="preserve">RM29 per month</w:t>
            </w:r>
          </w:p>
        </w:tc>
        <w:tc>
          <w:tcPr>
            <w:tcW w:w="3375" w:type="dxa"/>
          </w:tcPr>
          <w:p>
            <w:pPr/>
            <w:r>
              <w:t xml:space="preserve">SME; required to contact investors and suppliers</w:t>
            </w:r>
          </w:p>
        </w:tc>
        <w:tc>
          <w:tcPr>
            <w:tcW w:w="995" w:type="dxa"/>
          </w:tcPr>
          <w:p>
            <w:pPr/>
            <w:r>
              <w:t xml:space="preserve">34%</w:t>
            </w:r>
          </w:p>
        </w:tc>
      </w:tr>
      <w:tr>
        <w:tc>
          <w:tcPr>
            <w:tcW w:w="2510" w:type="dxa"/>
          </w:tcPr>
          <w:p>
            <w:pPr/>
            <w:r>
              <w:t xml:space="preserve">Supplier connection</w:t>
            </w:r>
          </w:p>
        </w:tc>
        <w:tc>
          <w:tcPr>
            <w:tcW w:w="2480" w:type="dxa"/>
          </w:tcPr>
          <w:p>
            <w:pPr/>
            <w:r>
              <w:t xml:space="preserve">RM200 per accepted connection</w:t>
            </w:r>
          </w:p>
        </w:tc>
        <w:tc>
          <w:tcPr>
            <w:tcW w:w="3375" w:type="dxa"/>
          </w:tcPr>
          <w:p>
            <w:pPr/>
            <w:r>
              <w:t xml:space="preserve">Supplier, only after the owner accepts</w:t>
            </w:r>
          </w:p>
        </w:tc>
        <w:tc>
          <w:tcPr>
            <w:tcW w:w="995" w:type="dxa"/>
          </w:tcPr>
          <w:p>
            <w:pPr/>
            <w:r>
              <w:t xml:space="preserve">20%</w:t>
            </w:r>
          </w:p>
        </w:tc>
      </w:tr>
      <w:tr>
        <w:tc>
          <w:tcPr>
            <w:tcW w:w="2510" w:type="dxa"/>
          </w:tcPr>
          <w:p>
            <w:pPr/>
            <w:r>
              <w:t xml:space="preserve">Investor subscription</w:t>
            </w:r>
          </w:p>
        </w:tc>
        <w:tc>
          <w:tcPr>
            <w:tcW w:w="2480" w:type="dxa"/>
          </w:tcPr>
          <w:p>
            <w:pPr/>
            <w:r>
              <w:t xml:space="preserve">RM1,500 per month</w:t>
            </w:r>
          </w:p>
        </w:tc>
        <w:tc>
          <w:tcPr>
            <w:tcW w:w="3375" w:type="dxa"/>
          </w:tcPr>
          <w:p>
            <w:pPr/>
            <w:r>
              <w:t xml:space="preserve">Bank or green investor</w:t>
            </w:r>
          </w:p>
        </w:tc>
        <w:tc>
          <w:tcPr>
            <w:tcW w:w="995" w:type="dxa"/>
          </w:tcPr>
          <w:p>
            <w:pPr/>
            <w:r>
              <w:t xml:space="preserve">28%</w:t>
            </w:r>
          </w:p>
        </w:tc>
      </w:tr>
      <w:tr>
        <w:tc>
          <w:tcPr>
            <w:tcW w:w="2510" w:type="dxa"/>
          </w:tcPr>
          <w:p>
            <w:pPr/>
            <w:r>
              <w:t xml:space="preserve">Orbyte integration fee</w:t>
            </w:r>
          </w:p>
        </w:tc>
        <w:tc>
          <w:tcPr>
            <w:tcW w:w="2480" w:type="dxa"/>
          </w:tcPr>
          <w:p>
            <w:pPr/>
            <w:r>
              <w:t xml:space="preserve">RM70,000 once (Y1)</w:t>
            </w:r>
          </w:p>
        </w:tc>
        <w:tc>
          <w:tcPr>
            <w:tcW w:w="3375" w:type="dxa"/>
          </w:tcPr>
          <w:p>
            <w:pPr/>
            <w:r>
              <w:t xml:space="preserve">Orbyte</w:t>
            </w:r>
          </w:p>
        </w:tc>
        <w:tc>
          <w:tcPr>
            <w:tcW w:w="995" w:type="dxa"/>
          </w:tcPr>
          <w:p>
            <w:pPr/>
            <w:r>
              <w:t xml:space="preserve">2%</w:t>
            </w:r>
          </w:p>
        </w:tc>
      </w:tr>
      <w:tr>
        <w:tc>
          <w:tcPr>
            <w:tcW w:w="2510" w:type="dxa"/>
          </w:tcPr>
          <w:p>
            <w:pPr/>
            <w:r>
              <w:t xml:space="preserve">Orbyte platform licence</w:t>
            </w:r>
          </w:p>
        </w:tc>
        <w:tc>
          <w:tcPr>
            <w:tcW w:w="2480" w:type="dxa"/>
          </w:tcPr>
          <w:p>
            <w:pPr/>
            <w:r>
              <w:t xml:space="preserve">RM70,000 per year</w:t>
            </w:r>
          </w:p>
        </w:tc>
        <w:tc>
          <w:tcPr>
            <w:tcW w:w="3375" w:type="dxa"/>
          </w:tcPr>
          <w:p>
            <w:pPr/>
            <w:r>
              <w:t xml:space="preserve">Orbyte</w:t>
            </w:r>
          </w:p>
        </w:tc>
        <w:tc>
          <w:tcPr>
            <w:tcW w:w="995" w:type="dxa"/>
          </w:tcPr>
          <w:p>
            <w:pPr/>
            <w:r>
              <w:t xml:space="preserve">11%</w:t>
            </w:r>
          </w:p>
        </w:tc>
      </w:tr>
    </w:tbl>
    <w:p>
      <w:pPr/>
      <w:r>
        <w:rPr>
          <w:b/>
        </w:rPr>
        <w:t xml:space="preserve">How it works:</w:t>
      </w:r>
      <w:r>
        <w:t xml:space="preserve"> every company gets RM10 of free credit once, checked by its SSM number. After that it pays RM2 per bill, or joins as a member for RM29 a month. Membership includes unlimited analyses, the Preparation Pack, the anonymous listing, investor and supplier connections, savings verification after an upgrade and a yearly carbon report. Members keep coming back because each new bill verifies savings and points to the next upgrade.</w:t>
      </w:r>
    </w:p>
    <w:p>
      <w:pPr/>
      <w:r>
        <w:rPr>
          <w:b/>
        </w:rPr>
        <w:t xml:space="preserve">Why these prices:</w:t>
      </w:r>
      <w:r>
        <w:t xml:space="preserve"> RM2 is about half the admin time a customer saves per bill (17 minutes at a clerical wage ≈ RM3.90) [11], while AI reading costs GreenReady about 2 sen; RM29 is below entry-level SME cloud accounting (RM35–135) [20]; the supplier fee is under half a commercial solar lead (RM427+) [19]; both Orbyte fees are below Orbyte's RM84k cost to build the module in-house [11]. SMEs now pay 39% of 5-year income and partners 61%.</w:t>
      </w:r>
    </w:p>
    <w:p>
      <w:pPr/>
      <w:r>
        <w:rPr>
          <w:b/>
        </w:rPr>
        <w:t xml:space="preserve">Unit economics (Year 5):</w:t>
      </w:r>
      <w:r>
        <w:t xml:space="preserve"> 2,000 members (20% of active SMEs); running cost about RM2.67 per SME a year (AI reading, messaging, hosting); margin about RM1.98 per paid analysis; acquisition cost RM50 per new SME, recovered in about 6 months; payment gateway fees (3% + RM1 per charge) are included in costs [39]. AI reads a document in about 3.5 seconds [32], costing under 2 sen per document [33].</w:t>
      </w:r>
    </w:p>
    <w:p>
      <w:pPr/>
      <w:r>
        <w:rPr>
          <w:b/>
        </w:rPr>
        <w:t xml:space="preserve">Marketing plan:</w:t>
      </w:r>
      <w:r>
        <w:t xml:space="preserve"> Y1 pilot with Orbyte's pilot group, 2 founding banks and 5–10 SEDA-registered suppliers; Y2 in-app launch to Orbyte users plus WhatsApp onboarding with RM10 free credit; Y3 bank SME units, supplier associations and SME events; Y4–Y5 other states and new upgrade types. Marketing stays at 13–24% of income.</w:t>
      </w:r>
    </w:p>
    <w:p>
      <w:pPr>
        <w:pStyle w:val="Heading3"/>
      </w:pPr>
      <w:r>
        <w:t xml:space="preserve">Key risks and mitigation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AI misreads a bill (hardest risk)</w:t>
            </w:r>
          </w:p>
        </w:tc>
        <w:tc>
          <w:tcPr>
            <w:tcW w:w="4920" w:type="dxa"/>
          </w:tcPr>
          <w:p>
            <w:pPr/>
            <w:r>
              <w:t xml:space="preserve">8 arithmetic checks against the official tariff; fields under 85% confidence go to staff; manual entry fallback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Partner fees carry 61% of income</w:t>
            </w:r>
          </w:p>
        </w:tc>
        <w:tc>
          <w:tcPr>
            <w:tcW w:w="4920" w:type="dxa"/>
          </w:tcPr>
          <w:p>
            <w:pPr/>
            <w:r>
              <w:t xml:space="preserve">SMEs now pay 39% through pay-per-use and membership; 2 founding banks in Y1; stress test shows a RM45/month membership would cover costs alone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Orbyte fees not agreed</w:t>
            </w:r>
          </w:p>
        </w:tc>
        <w:tc>
          <w:tcPr>
            <w:tcW w:w="4920" w:type="dxa"/>
          </w:tcPr>
          <w:p>
            <w:pPr/>
            <w:r>
              <w:t xml:space="preserve">Priced below Orbyte's in-house cost; licence negotiable against usage-based credits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Seen as financial advice or unlicensed funding</w:t>
            </w:r>
          </w:p>
        </w:tc>
        <w:tc>
          <w:tcPr>
            <w:tcW w:w="4920" w:type="dxa"/>
          </w:tcPr>
          <w:p>
            <w:pPr/>
            <w:r>
              <w:t xml:space="preserve">No scores or ratings; money moves only through licensed banks; Securities Commission rules respected [25]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SME data exposed</w:t>
            </w:r>
          </w:p>
        </w:tc>
        <w:tc>
          <w:tcPr>
            <w:tcW w:w="4920" w:type="dxa"/>
          </w:tcPr>
          <w:p>
            <w:pPr/>
            <w:r>
              <w:t xml:space="preserve">Anonymous listings, owner consent for every connection, PDPA-aligned retention and DPO [24]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Fewer SMEs become members than planned</w:t>
            </w:r>
          </w:p>
        </w:tc>
        <w:tc>
          <w:tcPr>
            <w:tcW w:w="4920" w:type="dxa"/>
          </w:tcPr>
          <w:p>
            <w:pPr/>
            <w:r>
              <w:t xml:space="preserve">20% is below the trigger-based benchmark (~25%) [38]; at 15%, vendor break-even moves to Year 3. Test the rate in the pilot; pay-per-use still works without membership</w:t>
            </w:r>
          </w:p>
        </w:tc>
      </w:tr>
    </w:tbl>
    <w:p>
      <w:pPr>
        <w:pStyle w:val="Heading2"/>
      </w:pPr>
      <w:r>
        <w:t xml:space="preserve">7. Future Enhancement</w:t>
      </w:r>
    </w:p>
    <w:p>
      <w:pPr/>
      <w:r>
        <w:t xml:space="preserve">After the MVP, GreenReady grows in three directions: proving real savings, covering more upgrades and data sources, and deepening the partner side.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Monthly verified savings.</w:t>
      </w:r>
      <w:r>
        <w:t xml:space="preserve"> Compare each new bill after an upgrade with the original estimate, so investors and the SME see real results and greenwashing risk falls.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More upgrade types.</w:t>
      </w:r>
      <w:r>
        <w:t xml:space="preserve"> Efficient motors and variable speed drives, commercial refrigeration and chillers, heat-pump water heaters and air compressors — common in manufacturing and F&amp;B.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More ways to send data.</w:t>
      </w:r>
      <w:r>
        <w:t xml:space="preserve"> Email forwarding, myTNB and smart-meter exports, and Sabah and Sarawak tariffs.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Supplier bidding.</w:t>
      </w:r>
      <w:r>
        <w:t xml:space="preserve"> Suppliers submit firm quotes directly on the board, compared side by side on the same formulas.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Investor tools.</w:t>
      </w:r>
      <w:r>
        <w:t xml:space="preserve"> Saved criteria with alerts for new matching listings, and a portfolio view of kWh and CO2e saved for green-finance reporting.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Licensed partner links.</w:t>
      </w:r>
      <w:r>
        <w:t xml:space="preserve"> Connect to banks' own systems and guarantee schemes so an accepted EOI flows straight into the bank's application, with money still moving only on the partner's side [16].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ESG questionnaire autofill.</w:t>
      </w:r>
      <w:r>
        <w:t xml:space="preserve"> Reuse checked energy and carbon data to answer buyers' supplier ESG questionnaires, helping SMEs stay in export supply chains.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Bahasa Malaysia and Chinese.</w:t>
      </w:r>
      <w:r>
        <w:t xml:space="preserve"> Summaries and alerts in the owner's preferred language.</w:t>
      </w:r>
    </w:p>
    <w:p>
      <w:pPr>
        <w:pStyle w:val="Heading2"/>
      </w:pPr>
      <w:r>
        <w:t xml:space="preserve">8. References</w:t>
      </w:r>
    </w:p>
    <w:p>
      <w:pPr/>
      <w:r>
        <w:t xml:space="preserve">Sources accessed 21–24 October 2026. Problem evidence in Section 1 and competitors in Section 3 are linked in place.</w:t>
      </w:r>
    </w:p>
    <w:p>
      <w:pPr>
        <w:pStyle w:val="ListParagraph"/>
        <w:numPr>
          <w:ilvl w:val="0"/>
          <w:numId w:val="7"/>
        </w:numPr>
      </w:pPr>
      <w:hyperlink r:id="rId17" w:history="1">
        <w:r>
          <w:rPr>
            <w:rStyle w:val="Hyperlink"/>
          </w:rPr>
          <w:t xml:space="preserve">SME Corp Malaysia (DOSM data) — Profile of MSMEs 2023</w:t>
        </w:r>
      </w:hyperlink>
    </w:p>
    <w:p>
      <w:pPr>
        <w:pStyle w:val="ListParagraph"/>
        <w:numPr>
          <w:ilvl w:val="0"/>
          <w:numId w:val="7"/>
        </w:numPr>
      </w:pPr>
      <w:hyperlink r:id="rId18" w:history="1">
        <w:r>
          <w:rPr>
            <w:rStyle w:val="Hyperlink"/>
          </w:rPr>
          <w:t xml:space="preserve">DOSM — Economic Census 2023: Food &amp; Beverage Services</w:t>
        </w:r>
      </w:hyperlink>
    </w:p>
    <w:p>
      <w:pPr>
        <w:pStyle w:val="ListParagraph"/>
        <w:numPr>
          <w:ilvl w:val="0"/>
          <w:numId w:val="7"/>
        </w:numPr>
      </w:pPr>
      <w:hyperlink r:id="rId19" w:history="1">
        <w:r>
          <w:rPr>
            <w:rStyle w:val="Hyperlink"/>
          </w:rPr>
          <w:t xml:space="preserve">American Express SME Business Barometer (Jul 2026, UK) — owners spend about 11 hours a week on admin</w:t>
        </w:r>
      </w:hyperlink>
    </w:p>
    <w:p>
      <w:pPr>
        <w:pStyle w:val="ListParagraph"/>
        <w:numPr>
          <w:ilvl w:val="0"/>
          <w:numId w:val="7"/>
        </w:numPr>
      </w:pPr>
      <w:hyperlink r:id="rId20" w:history="1">
        <w:r>
          <w:rPr>
            <w:rStyle w:val="Hyperlink"/>
          </w:rPr>
          <w:t xml:space="preserve">Plus Xnergy — July 2025 TNB tariff update (Low Voltage General rates)</w:t>
        </w:r>
      </w:hyperlink>
    </w:p>
    <w:p>
      <w:pPr>
        <w:pStyle w:val="ListParagraph"/>
        <w:numPr>
          <w:ilvl w:val="0"/>
          <w:numId w:val="7"/>
        </w:numPr>
      </w:pPr>
      <w:hyperlink r:id="rId21" w:history="1">
        <w:r>
          <w:rPr>
            <w:rStyle w:val="Hyperlink"/>
          </w:rPr>
          <w:t xml:space="preserve">Energy Commission — Grid Emission Factor in Malaysia 2022–2024 (Provisional)</w:t>
        </w:r>
      </w:hyperlink>
    </w:p>
    <w:p>
      <w:pPr>
        <w:pStyle w:val="ListParagraph"/>
        <w:numPr>
          <w:ilvl w:val="0"/>
          <w:numId w:val="7"/>
        </w:numPr>
      </w:pPr>
      <w:hyperlink r:id="rId22" w:history="1">
        <w:r>
          <w:rPr>
            <w:rStyle w:val="Hyperlink"/>
          </w:rPr>
          <w:t xml:space="preserve">Salleh et al. (2018), UNITEN — inverter air conditioners use 33% less electricity</w:t>
        </w:r>
      </w:hyperlink>
    </w:p>
    <w:p>
      <w:pPr>
        <w:pStyle w:val="ListParagraph"/>
        <w:numPr>
          <w:ilvl w:val="0"/>
          <w:numId w:val="7"/>
        </w:numPr>
      </w:pPr>
      <w:hyperlink r:id="rId23" w:history="1">
        <w:r>
          <w:rPr>
            <w:rStyle w:val="Hyperlink"/>
          </w:rPr>
          <w:t xml:space="preserve">Green Energy and Fuel Research (Jun 2026) — Malaysian LED retrofit cut energy use 44.7%</w:t>
        </w:r>
      </w:hyperlink>
    </w:p>
    <w:p>
      <w:pPr>
        <w:pStyle w:val="ListParagraph"/>
        <w:numPr>
          <w:ilvl w:val="0"/>
          <w:numId w:val="7"/>
        </w:numPr>
      </w:pPr>
      <w:hyperlink r:id="rId24" w:history="1">
        <w:r>
          <w:rPr>
            <w:rStyle w:val="Hyperlink"/>
          </w:rPr>
          <w:t xml:space="preserve">EPJ Web of Conferences (2026) — 23.4 kWp rooftop PV in Kuala Lumpur, ≈1,204 kWh/kWp/year</w:t>
        </w:r>
      </w:hyperlink>
    </w:p>
    <w:p>
      <w:pPr>
        <w:pStyle w:val="ListParagraph"/>
        <w:numPr>
          <w:ilvl w:val="0"/>
          <w:numId w:val="7"/>
        </w:numPr>
      </w:pPr>
      <w:hyperlink r:id="rId25" w:history="1">
        <w:r>
          <w:rPr>
            <w:rStyle w:val="Hyperlink"/>
          </w:rPr>
          <w:t xml:space="preserve">Trexon — Solar panel price Malaysia 2026</w:t>
        </w:r>
      </w:hyperlink>
    </w:p>
    <w:p>
      <w:pPr>
        <w:pStyle w:val="ListParagraph"/>
        <w:numPr>
          <w:ilvl w:val="0"/>
          <w:numId w:val="7"/>
        </w:numPr>
      </w:pPr>
      <w:hyperlink r:id="rId26" w:history="1">
        <w:r>
          <w:rPr>
            <w:rStyle w:val="Hyperlink"/>
          </w:rPr>
          <w:t xml:space="preserve">Trexon — SEDA RPVSP checks and quotation checklist</w:t>
        </w:r>
      </w:hyperlink>
    </w:p>
    <w:p>
      <w:pPr>
        <w:pStyle w:val="ListParagraph"/>
        <w:numPr>
          <w:ilvl w:val="0"/>
          <w:numId w:val="7"/>
        </w:numPr>
      </w:pPr>
      <w:hyperlink r:id="rId27" w:history="1">
        <w:r>
          <w:rPr>
            <w:rStyle w:val="Hyperlink"/>
          </w:rPr>
          <w:t xml:space="preserve">RinggitPlus — DOSM Salaries &amp; Wages Survey 2025</w:t>
        </w:r>
      </w:hyperlink>
    </w:p>
    <w:p>
      <w:pPr>
        <w:pStyle w:val="ListParagraph"/>
        <w:numPr>
          <w:ilvl w:val="0"/>
          <w:numId w:val="7"/>
        </w:numPr>
      </w:pPr>
      <w:hyperlink r:id="rId28" w:history="1">
        <w:r>
          <w:rPr>
            <w:rStyle w:val="Hyperlink"/>
          </w:rPr>
          <w:t xml:space="preserve">Alliance Bank — ESG 2.0 Report (Jan 2025)</w:t>
        </w:r>
      </w:hyperlink>
    </w:p>
    <w:p>
      <w:pPr>
        <w:pStyle w:val="ListParagraph"/>
        <w:numPr>
          <w:ilvl w:val="0"/>
          <w:numId w:val="7"/>
        </w:numPr>
      </w:pPr>
      <w:hyperlink r:id="rId9" w:history="1">
        <w:r>
          <w:rPr>
            <w:rStyle w:val="Hyperlink"/>
          </w:rPr>
          <w:t xml:space="preserve">Business Today — UOB Business Outlook Study 2026</w:t>
        </w:r>
      </w:hyperlink>
    </w:p>
    <w:p>
      <w:pPr>
        <w:pStyle w:val="ListParagraph"/>
        <w:numPr>
          <w:ilvl w:val="0"/>
          <w:numId w:val="7"/>
        </w:numPr>
      </w:pPr>
      <w:hyperlink r:id="rId29" w:history="1">
        <w:r>
          <w:rPr>
            <w:rStyle w:val="Hyperlink"/>
          </w:rPr>
          <w:t xml:space="preserve">RHB Bank — LCTF portfolio guarantee; 600+ SMEs engaged</w:t>
        </w:r>
      </w:hyperlink>
    </w:p>
    <w:p>
      <w:pPr>
        <w:pStyle w:val="ListParagraph"/>
        <w:numPr>
          <w:ilvl w:val="0"/>
          <w:numId w:val="7"/>
        </w:numPr>
      </w:pPr>
      <w:hyperlink r:id="rId30" w:history="1">
        <w:r>
          <w:rPr>
            <w:rStyle w:val="Hyperlink"/>
          </w:rPr>
          <w:t xml:space="preserve">Bank Negara Malaysia — Low Carbon Transition Facility FAQ</w:t>
        </w:r>
      </w:hyperlink>
    </w:p>
    <w:p>
      <w:pPr>
        <w:pStyle w:val="ListParagraph"/>
        <w:numPr>
          <w:ilvl w:val="0"/>
          <w:numId w:val="7"/>
        </w:numPr>
      </w:pPr>
      <w:hyperlink r:id="rId31" w:history="1">
        <w:r>
          <w:rPr>
            <w:rStyle w:val="Hyperlink"/>
          </w:rPr>
          <w:t xml:space="preserve">Bank Negara Malaysia — Additional allocation and shift to guarantee-based SME support (Jan 2026)</w:t>
        </w:r>
      </w:hyperlink>
    </w:p>
    <w:p>
      <w:pPr>
        <w:pStyle w:val="ListParagraph"/>
        <w:numPr>
          <w:ilvl w:val="0"/>
          <w:numId w:val="7"/>
        </w:numPr>
      </w:pPr>
      <w:hyperlink r:id="rId32" w:history="1">
        <w:r>
          <w:rPr>
            <w:rStyle w:val="Hyperlink"/>
          </w:rPr>
          <w:t xml:space="preserve">OpenForest — startup discount rates by stage</w:t>
        </w:r>
      </w:hyperlink>
    </w:p>
    <w:p>
      <w:pPr>
        <w:pStyle w:val="ListParagraph"/>
        <w:numPr>
          <w:ilvl w:val="0"/>
          <w:numId w:val="7"/>
        </w:numPr>
      </w:pPr>
      <w:hyperlink r:id="rId33" w:history="1">
        <w:r>
          <w:rPr>
            <w:rStyle w:val="Hyperlink"/>
          </w:rPr>
          <w:t xml:space="preserve">Gripped — B2B SaaS CAC benchmarks 2026</w:t>
        </w:r>
      </w:hyperlink>
    </w:p>
    <w:p>
      <w:pPr>
        <w:pStyle w:val="ListParagraph"/>
        <w:numPr>
          <w:ilvl w:val="0"/>
          <w:numId w:val="7"/>
        </w:numPr>
      </w:pPr>
      <w:hyperlink r:id="rId34" w:history="1">
        <w:r>
          <w:rPr>
            <w:rStyle w:val="Hyperlink"/>
          </w:rPr>
          <w:t xml:space="preserve">WhySolar — solar lead costs</w:t>
        </w:r>
      </w:hyperlink>
    </w:p>
    <w:p>
      <w:pPr>
        <w:pStyle w:val="ListParagraph"/>
        <w:numPr>
          <w:ilvl w:val="0"/>
          <w:numId w:val="7"/>
        </w:numPr>
      </w:pPr>
      <w:hyperlink r:id="rId35" w:history="1">
        <w:r>
          <w:rPr>
            <w:rStyle w:val="Hyperlink"/>
          </w:rPr>
          <w:t xml:space="preserve">Bukku — SME cloud accounting pricing</w:t>
        </w:r>
      </w:hyperlink>
    </w:p>
    <w:p>
      <w:pPr>
        <w:pStyle w:val="ListParagraph"/>
        <w:numPr>
          <w:ilvl w:val="0"/>
          <w:numId w:val="7"/>
        </w:numPr>
      </w:pPr>
      <w:hyperlink r:id="rId36" w:history="1">
        <w:r>
          <w:rPr>
            <w:rStyle w:val="Hyperlink"/>
          </w:rPr>
          <w:t xml:space="preserve">Wikipedia — List of banks in Malaysia</w:t>
        </w:r>
      </w:hyperlink>
    </w:p>
    <w:p>
      <w:pPr>
        <w:pStyle w:val="ListParagraph"/>
        <w:numPr>
          <w:ilvl w:val="0"/>
          <w:numId w:val="7"/>
        </w:numPr>
      </w:pPr>
      <w:hyperlink r:id="rId37" w:history="1">
        <w:r>
          <w:rPr>
            <w:rStyle w:val="Hyperlink"/>
          </w:rPr>
          <w:t xml:space="preserve">CGC — SME definition table</w:t>
        </w:r>
      </w:hyperlink>
    </w:p>
    <w:p>
      <w:pPr>
        <w:pStyle w:val="ListParagraph"/>
        <w:numPr>
          <w:ilvl w:val="0"/>
          <w:numId w:val="7"/>
        </w:numPr>
      </w:pPr>
      <w:hyperlink r:id="rId38" w:history="1">
        <w:r>
          <w:rPr>
            <w:rStyle w:val="Hyperlink"/>
          </w:rPr>
          <w:t xml:space="preserve">3E Accounting — SSM e-Info company profiles</w:t>
        </w:r>
      </w:hyperlink>
    </w:p>
    <w:p>
      <w:pPr>
        <w:pStyle w:val="ListParagraph"/>
        <w:numPr>
          <w:ilvl w:val="0"/>
          <w:numId w:val="7"/>
        </w:numPr>
      </w:pPr>
      <w:hyperlink r:id="rId39" w:history="1">
        <w:r>
          <w:rPr>
            <w:rStyle w:val="Hyperlink"/>
          </w:rPr>
          <w:t xml:space="preserve">DFDL — PDPA (Amendment) Act 2024 obligations</w:t>
        </w:r>
      </w:hyperlink>
    </w:p>
    <w:p>
      <w:pPr>
        <w:pStyle w:val="ListParagraph"/>
        <w:numPr>
          <w:ilvl w:val="0"/>
          <w:numId w:val="7"/>
        </w:numPr>
      </w:pPr>
      <w:hyperlink r:id="rId40" w:history="1">
        <w:r>
          <w:rPr>
            <w:rStyle w:val="Hyperlink"/>
          </w:rPr>
          <w:t xml:space="preserve">Securities Commission — List of Registered Recognized Market Operators (P2P and ECF platforms)</w:t>
        </w:r>
      </w:hyperlink>
    </w:p>
    <w:p>
      <w:pPr>
        <w:pStyle w:val="ListParagraph"/>
        <w:numPr>
          <w:ilvl w:val="0"/>
          <w:numId w:val="7"/>
        </w:numPr>
      </w:pPr>
      <w:hyperlink r:id="rId41" w:history="1">
        <w:r>
          <w:rPr>
            <w:rStyle w:val="Hyperlink"/>
          </w:rPr>
          <w:t xml:space="preserve">NST — Energy Efficiency Incentive limits (Jun 2025)</w:t>
        </w:r>
      </w:hyperlink>
    </w:p>
    <w:p>
      <w:pPr>
        <w:pStyle w:val="ListParagraph"/>
        <w:numPr>
          <w:ilvl w:val="0"/>
          <w:numId w:val="7"/>
        </w:numPr>
      </w:pPr>
      <w:hyperlink r:id="rId42" w:history="1">
        <w:r>
          <w:rPr>
            <w:rStyle w:val="Hyperlink"/>
          </w:rPr>
          <w:t xml:space="preserve">SoyaCincau — 800 kWh domestic exemption, Sep–Dec 2026</w:t>
        </w:r>
      </w:hyperlink>
    </w:p>
    <w:p>
      <w:pPr>
        <w:pStyle w:val="ListParagraph"/>
        <w:numPr>
          <w:ilvl w:val="0"/>
          <w:numId w:val="7"/>
        </w:numPr>
      </w:pPr>
      <w:hyperlink r:id="rId10" w:history="1">
        <w:r>
          <w:rPr>
            <w:rStyle w:val="Hyperlink"/>
          </w:rPr>
          <w:t xml:space="preserve">Hong Leong Bank — SME Solar Financing</w:t>
        </w:r>
      </w:hyperlink>
    </w:p>
    <w:p>
      <w:pPr>
        <w:pStyle w:val="ListParagraph"/>
        <w:numPr>
          <w:ilvl w:val="0"/>
          <w:numId w:val="7"/>
        </w:numPr>
      </w:pPr>
      <w:hyperlink r:id="rId15" w:history="1">
        <w:r>
          <w:rPr>
            <w:rStyle w:val="Hyperlink"/>
          </w:rPr>
          <w:t xml:space="preserve">TNB — myTNB app and monthly billing (The Star, May 2025)</w:t>
        </w:r>
      </w:hyperlink>
    </w:p>
    <w:p>
      <w:pPr>
        <w:pStyle w:val="ListParagraph"/>
        <w:numPr>
          <w:ilvl w:val="0"/>
          <w:numId w:val="7"/>
        </w:numPr>
      </w:pPr>
      <w:hyperlink r:id="rId43" w:history="1">
        <w:r>
          <w:rPr>
            <w:rStyle w:val="Hyperlink"/>
          </w:rPr>
          <w:t xml:space="preserve">Meta — WhatsApp Business Platform pricing</w:t>
        </w:r>
      </w:hyperlink>
    </w:p>
    <w:p>
      <w:pPr>
        <w:pStyle w:val="ListParagraph"/>
        <w:numPr>
          <w:ilvl w:val="0"/>
          <w:numId w:val="7"/>
        </w:numPr>
      </w:pPr>
      <w:hyperlink r:id="rId44" w:history="1">
        <w:r>
          <w:rPr>
            <w:rStyle w:val="Hyperlink"/>
          </w:rPr>
          <w:t xml:space="preserve">MakerKit — Supabase pricing 2026</w:t>
        </w:r>
      </w:hyperlink>
    </w:p>
    <w:p>
      <w:pPr>
        <w:pStyle w:val="ListParagraph"/>
        <w:numPr>
          <w:ilvl w:val="0"/>
          <w:numId w:val="7"/>
        </w:numPr>
      </w:pPr>
      <w:hyperlink r:id="rId45" w:history="1">
        <w:r>
          <w:rPr>
            <w:rStyle w:val="Hyperlink"/>
          </w:rPr>
          <w:t xml:space="preserve">arXiv 2609.15706 — vision-language models for document extraction</w:t>
        </w:r>
      </w:hyperlink>
    </w:p>
    <w:p>
      <w:pPr>
        <w:pStyle w:val="ListParagraph"/>
        <w:numPr>
          <w:ilvl w:val="0"/>
          <w:numId w:val="7"/>
        </w:numPr>
      </w:pPr>
      <w:hyperlink r:id="rId46" w:history="1">
        <w:r>
          <w:rPr>
            <w:rStyle w:val="Hyperlink"/>
          </w:rPr>
          <w:t xml:space="preserve">RunPod — Serverless GPU pricing</w:t>
        </w:r>
      </w:hyperlink>
    </w:p>
    <w:p>
      <w:pPr>
        <w:pStyle w:val="ListParagraph"/>
        <w:numPr>
          <w:ilvl w:val="0"/>
          <w:numId w:val="7"/>
        </w:numPr>
      </w:pPr>
      <w:hyperlink r:id="rId47" w:history="1">
        <w:r>
          <w:rPr>
            <w:rStyle w:val="Hyperlink"/>
          </w:rPr>
          <w:t xml:space="preserve">DOSM — MSMEs Performance 2025 (released 30 Jul 2026): 39.7% of GDP, 8.09 million jobs</w:t>
        </w:r>
      </w:hyperlink>
    </w:p>
    <w:p>
      <w:pPr>
        <w:pStyle w:val="ListParagraph"/>
        <w:numPr>
          <w:ilvl w:val="0"/>
          <w:numId w:val="7"/>
        </w:numPr>
      </w:pPr>
      <w:hyperlink r:id="rId48" w:history="1">
        <w:r>
          <w:rPr>
            <w:rStyle w:val="Hyperlink"/>
          </w:rPr>
          <w:t xml:space="preserve">Trexon — TNB tariff 2026: RP4 base rates fixed to 2027; AFA +3.61 sen/kWh in Oct 2026</w:t>
        </w:r>
      </w:hyperlink>
    </w:p>
    <w:p>
      <w:pPr>
        <w:pStyle w:val="ListParagraph"/>
        <w:numPr>
          <w:ilvl w:val="0"/>
          <w:numId w:val="7"/>
        </w:numPr>
      </w:pPr>
      <w:hyperlink r:id="rId49" w:history="1">
        <w:r>
          <w:rPr>
            <w:rStyle w:val="Hyperlink"/>
          </w:rPr>
          <w:t xml:space="preserve">Springer, J. Renewable Energy &amp; Environment (2023) — Selangor PV ≈1,370 kWh/kWp/year</w:t>
        </w:r>
      </w:hyperlink>
    </w:p>
    <w:p>
      <w:pPr>
        <w:pStyle w:val="ListParagraph"/>
        <w:numPr>
          <w:ilvl w:val="0"/>
          <w:numId w:val="7"/>
        </w:numPr>
      </w:pPr>
      <w:hyperlink r:id="rId50" w:history="1">
        <w:r>
          <w:rPr>
            <w:rStyle w:val="Hyperlink"/>
          </w:rPr>
          <w:t xml:space="preserve">Lawrence Berkeley National Laboratory (Jan 2025) — Malaysia room air-conditioner market study</w:t>
        </w:r>
      </w:hyperlink>
    </w:p>
    <w:p>
      <w:pPr>
        <w:pStyle w:val="ListParagraph"/>
        <w:numPr>
          <w:ilvl w:val="0"/>
          <w:numId w:val="7"/>
        </w:numPr>
      </w:pPr>
      <w:hyperlink r:id="rId51" w:history="1">
        <w:r>
          <w:rPr>
            <w:rStyle w:val="Hyperlink"/>
          </w:rPr>
          <w:t xml:space="preserve">Userpilot, citing ChartMogul / ProductLed SaaS Conversion Report (Jan 2026) — freemium-to-paid benchmarks</w:t>
        </w:r>
      </w:hyperlink>
    </w:p>
    <w:p>
      <w:pPr>
        <w:pStyle w:val="ListParagraph"/>
        <w:numPr>
          <w:ilvl w:val="0"/>
          <w:numId w:val="7"/>
        </w:numPr>
      </w:pPr>
      <w:hyperlink r:id="rId52" w:history="1">
        <w:r>
          <w:rPr>
            <w:rStyle w:val="Hyperlink"/>
          </w:rPr>
          <w:t xml:space="preserve">Airwallex (Jun 2026) — Malaysia payment gateway fees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tnb.com.my/assets/newsclip/02082025b.pdf" TargetMode="External"/><Relationship Id="rId4" Type="http://schemas.openxmlformats.org/officeDocument/2006/relationships/hyperlink" Target="https://www.thevibes.com/articles/business/116606/smes-hampered-under-mounting-esg-demands" TargetMode="External"/><Relationship Id="rId5" Type="http://schemas.openxmlformats.org/officeDocument/2006/relationships/hyperlink" Target="https://www.businesstoday.com.my/2026/01/24/reframing-esg-as-commercial-opportunities-for-smes/" TargetMode="External"/><Relationship Id="rId6" Type="http://schemas.openxmlformats.org/officeDocument/2006/relationships/hyperlink" Target="https://www.thevibes.com/index.php/articles/business/116606/smes-hampered-under-mounting-esg-demands" TargetMode="External"/><Relationship Id="rId7" Type="http://schemas.openxmlformats.org/officeDocument/2006/relationships/hyperlink" Target="https://www.businesstoday.com.my/2026/08/13/going-green-is-no-longer-just-a-big-business-problem-for-malaysian-smes/" TargetMode="External"/><Relationship Id="rId8" Type="http://schemas.openxmlformats.org/officeDocument/2006/relationships/hyperlink" Target="https://www.businesstoday.com.my/2026/02/28/why-sustainable-financing-remains-elusive-for-malaysian-smes/" TargetMode="External"/><Relationship Id="rId9" Type="http://schemas.openxmlformats.org/officeDocument/2006/relationships/hyperlink" Target="https://www.businesstoday.com.my/2026/06/29/77-of-malaysian-smes-remain-optimistic-as-energy-management-tops-cost-cutting-agenda-study-shows/" TargetMode="External"/><Relationship Id="rId10" Type="http://schemas.openxmlformats.org/officeDocument/2006/relationships/hyperlink" Target="https://hlb.com.my/SMESolar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trexon.my/bill-analyzer" TargetMode="External"/><Relationship Id="rId13" Type="http://schemas.openxmlformats.org/officeDocument/2006/relationships/hyperlink" Target="https://theedgemalaysia.com/article/opensys-launches-online-solar-panel-marketplace" TargetMode="External"/><Relationship Id="rId14" Type="http://schemas.openxmlformats.org/officeDocument/2006/relationships/hyperlink" Target="https://uob.com.sg/u-energy/malaysia/index.page" TargetMode="External"/><Relationship Id="rId15" Type="http://schemas.openxmlformats.org/officeDocument/2006/relationships/hyperlink" Target="https://www.tnb.com.my/assets/newsclip/21052025a.pdf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smecorp.gov.my/index.php/en/policies/2020-02-11-08-01-24/profile-and-importance-to-the-economy" TargetMode="External"/><Relationship Id="rId18" Type="http://schemas.openxmlformats.org/officeDocument/2006/relationships/hyperlink" Target="https://www.dosm.gov.my/portal-main/release-content/economic-census-2023-food-and-beverage-services-sector" TargetMode="External"/><Relationship Id="rId19" Type="http://schemas.openxmlformats.org/officeDocument/2006/relationships/hyperlink" Target="https://channelx.world/2026/07/smes-spend-twice-the-time-on-admin-as-growing-their-business/" TargetMode="External"/><Relationship Id="rId20" Type="http://schemas.openxmlformats.org/officeDocument/2006/relationships/hyperlink" Target="https://www.plusxnergy.com/?p=2574" TargetMode="External"/><Relationship Id="rId21" Type="http://schemas.openxmlformats.org/officeDocument/2006/relationships/hyperlink" Target="https://myenergystats.st.gov.my/documents/d/guest/grid-emission-factor-gef-in-malaysia-2022-2024-provisional-" TargetMode="External"/><Relationship Id="rId22" Type="http://schemas.openxmlformats.org/officeDocument/2006/relationships/hyperlink" Target="https://irepository.uniten.edu.my/entities/publication/c8d304dd-1a3c-45c0-84d5-eecaeeaf3549/full" TargetMode="External"/><Relationship Id="rId23" Type="http://schemas.openxmlformats.org/officeDocument/2006/relationships/hyperlink" Target="https://www.sciltp.com/journals/gefr/articles/2603003371" TargetMode="External"/><Relationship Id="rId24" Type="http://schemas.openxmlformats.org/officeDocument/2006/relationships/hyperlink" Target="https://www.epj-conferences.org/10.1051/epjconf/202636301023" TargetMode="External"/><Relationship Id="rId25" Type="http://schemas.openxmlformats.org/officeDocument/2006/relationships/hyperlink" Target="https://trexon.my/blog/solar-panel-price-malaysia-cost-breakdown-2026" TargetMode="External"/><Relationship Id="rId26" Type="http://schemas.openxmlformats.org/officeDocument/2006/relationships/hyperlink" Target="https://trexon.my/blog/avoid-solar-panel-scams-malaysia-2026-seda-guide" TargetMode="External"/><Relationship Id="rId27" Type="http://schemas.openxmlformats.org/officeDocument/2006/relationships/hyperlink" Target="https://ringgitplus.com/en/blog/education-career/median-salary-climbs-5-3-to-rm2940-in-2025.html" TargetMode="External"/><Relationship Id="rId28" Type="http://schemas.openxmlformats.org/officeDocument/2006/relationships/hyperlink" Target="https://www.alliancebank.com.my/About-Us/Media-Centre/ESG-Awareness-Among-SMEs-Surges-Sixfold-Alliance-Bank-ESG-2-0-Report" TargetMode="External"/><Relationship Id="rId29" Type="http://schemas.openxmlformats.org/officeDocument/2006/relationships/hyperlink" Target="https://rhbgroup.com/-/media/Files/others/highlights/media-release/M20241125-1.pdf" TargetMode="External"/><Relationship Id="rId30" Type="http://schemas.openxmlformats.org/officeDocument/2006/relationships/hyperlink" Target="https://www.bnm.gov.my/lctf2022_en_faq" TargetMode="External"/><Relationship Id="rId31" Type="http://schemas.openxmlformats.org/officeDocument/2006/relationships/hyperlink" Target="https://www.bnm.gov.my/-/addfund" TargetMode="External"/><Relationship Id="rId32" Type="http://schemas.openxmlformats.org/officeDocument/2006/relationships/hyperlink" Target="https://openforest.co/glossary/discount-rate" TargetMode="External"/><Relationship Id="rId33" Type="http://schemas.openxmlformats.org/officeDocument/2006/relationships/hyperlink" Target="https://gripped.io/b2b-saas/b2b-saas-cac-benchmarks-by-industry-2026/" TargetMode="External"/><Relationship Id="rId34" Type="http://schemas.openxmlformats.org/officeDocument/2006/relationships/hyperlink" Target="https://www.whysolar.com.au/blog/solar-leads-cost-australia" TargetMode="External"/><Relationship Id="rId35" Type="http://schemas.openxmlformats.org/officeDocument/2006/relationships/hyperlink" Target="https://bukku.my/pricing" TargetMode="External"/><Relationship Id="rId36" Type="http://schemas.openxmlformats.org/officeDocument/2006/relationships/hyperlink" Target="https://en.wikipedia.org/wiki/List_of_banks_in_Malaysia" TargetMode="External"/><Relationship Id="rId37" Type="http://schemas.openxmlformats.org/officeDocument/2006/relationships/hyperlink" Target="https://cgc.com.my/sme-definition-table" TargetMode="External"/><Relationship Id="rId38" Type="http://schemas.openxmlformats.org/officeDocument/2006/relationships/hyperlink" Target="https://www.3ecpa.com.my/resources/guide-to-setup-malaysia-business/ssm-e-info-in-malaysia/" TargetMode="External"/><Relationship Id="rId39" Type="http://schemas.openxmlformats.org/officeDocument/2006/relationships/hyperlink" Target="https://www.dfdl.com/insights/legal-and-tax-updates/malaysia-implementation-of-the-personal-data-protection-amendment-act-2024/" TargetMode="External"/><Relationship Id="rId40" Type="http://schemas.openxmlformats.org/officeDocument/2006/relationships/hyperlink" Target="https://www.sc.com.my/development/digital/list-of-registered-recognized-market-operators" TargetMode="External"/><Relationship Id="rId41" Type="http://schemas.openxmlformats.org/officeDocument/2006/relationships/hyperlink" Target="https://www.nst.com.my/amp/business/economy/2025/06/1233745/fairer-progressive-rates" TargetMode="External"/><Relationship Id="rId42" Type="http://schemas.openxmlformats.org/officeDocument/2006/relationships/hyperlink" Target="https://soyacincau.com/2026/09/17/tnb-bill-electricity-afa-retail-sst-exemption-december-2026/" TargetMode="External"/><Relationship Id="rId43" Type="http://schemas.openxmlformats.org/officeDocument/2006/relationships/hyperlink" Target="https://developers.facebook.com/docs/whatsapp/pricing" TargetMode="External"/><Relationship Id="rId44" Type="http://schemas.openxmlformats.org/officeDocument/2006/relationships/hyperlink" Target="https://makerkit.dev/blog/saas/supabase-pricing" TargetMode="External"/><Relationship Id="rId45" Type="http://schemas.openxmlformats.org/officeDocument/2006/relationships/hyperlink" Target="https://arxiv.org/pdf/2609.15706" TargetMode="External"/><Relationship Id="rId46" Type="http://schemas.openxmlformats.org/officeDocument/2006/relationships/hyperlink" Target="https://www.runpod.io/pricing" TargetMode="External"/><Relationship Id="rId47" Type="http://schemas.openxmlformats.org/officeDocument/2006/relationships/hyperlink" Target="https://www.dosm.gov.my/portal-main/release-content/micro-small--medium-enterprises-msmes-performance-2025" TargetMode="External"/><Relationship Id="rId48" Type="http://schemas.openxmlformats.org/officeDocument/2006/relationships/hyperlink" Target="https://trexon.my/blog/tnb-tariff-hike-2026-impact-solar-savings" TargetMode="External"/><Relationship Id="rId49" Type="http://schemas.openxmlformats.org/officeDocument/2006/relationships/hyperlink" Target="https://link.springer.com/10.1186/s40807-023-00081-0" TargetMode="External"/><Relationship Id="rId50" Type="http://schemas.openxmlformats.org/officeDocument/2006/relationships/hyperlink" Target="https://escholarship.org/uc/item/75h9f0xc" TargetMode="External"/><Relationship Id="rId51" Type="http://schemas.openxmlformats.org/officeDocument/2006/relationships/hyperlink" Target="https://userpilot.com/blog/free-trial-conversion-rate/" TargetMode="External"/><Relationship Id="rId52" Type="http://schemas.openxmlformats.org/officeDocument/2006/relationships/hyperlink" Target="https://www.airwallex.com/my/blog/payment-gateway-fees-malaysia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Orbyte GreenReady — Product Requirement Document</dc:title>
  <dc:description>Claude Docs node/9fc28886-b4fd@52 docx-w7</dc:description>
  <cp:revision>52</cp:revision>
</cp:coreProperties>
</file>