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adugi" w:cs="Gadugi" w:eastAsia="Gadugi" w:hAnsi="Gadugi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52"/>
          <w:szCs w:val="52"/>
          <w:rtl w:val="0"/>
        </w:rPr>
        <w:t xml:space="preserve">Caso semestral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color w:val="000000"/>
          <w:sz w:val="36"/>
          <w:szCs w:val="36"/>
          <w:rtl w:val="0"/>
        </w:rPr>
        <w:t xml:space="preserve">Instrucciones - Caso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>Caso EduTutor: plataforma para reserva de tutorías académicas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 Contexto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Las tutorías se coordinan por correo y la disponibilidad de los tutores vive en un Excel compartido. Se duplican horarios y nadie sabe si la sesión fue realizada. Una red de 20 centros de apoyo académico y programas de tutoría necesita una plataforma unificada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Reservar sesiones de tutoría por la web, administrar la disponibilidad de tutores y coordinar las salas.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Notificar al estudiante (email/push) y al tutor (ticket de sesión).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Generar un panel de operaciones en tiempo real (sesiones por hora, tasa de asistencia, estados activos).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Auditar eventos académicos (quién solicitó, confirmó, dictó o cerró una sesión).</w:t>
      </w:r>
    </w:p>
    <w:p w:rsidR="00000000" w:rsidDel="00000000" w:rsidP="00000000" w:rsidRDefault="00000000" w:rsidRPr="00000000" w14:paraId="0000000B">
      <w:pPr>
        <w:spacing w:after="4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  <w:t xml:space="preserve">Lo que la red exige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Login corporativo con Azure AD (IDaaS).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Frontend Angular con MSAL y autorización por rol (Admin, Operador del dominio, Cliente del dominio).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Backend Spring Boot con microservicios detrás de AWS API Gateway, protegido con el JWT de Azure 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Despliegue en AWS EC2 con Docker / Docker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Mensajería asíncrona con RabbitMQ (tareas / colas de trabajo) y streaming con Kafka (con Zookeeper) para analítica y auditoría en tiempo real.</w:t>
      </w:r>
    </w:p>
    <w:p w:rsidR="00000000" w:rsidDel="00000000" w:rsidP="00000000" w:rsidRDefault="00000000" w:rsidRPr="00000000" w14:paraId="00000011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 Actores y roles</w:t>
      </w:r>
      <w:r w:rsidDel="00000000" w:rsidR="00000000" w:rsidRPr="00000000">
        <w:rPr>
          <w:rtl w:val="0"/>
        </w:rPr>
      </w:r>
    </w:p>
    <w:sdt>
      <w:sdtPr>
        <w:lock w:val="contentLocked"/>
        <w:id w:val="-832888574"/>
        <w:tag w:val="goog_rdk_0"/>
      </w:sdtPr>
      <w:sdtContent>
        <w:tbl>
          <w:tblPr>
            <w:tblStyle w:val="Table1"/>
            <w:tblW w:w="130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805"/>
            <w:gridCol w:w="7200"/>
            <w:tblGridChange w:id="0">
              <w:tblGrid>
                <w:gridCol w:w="5805"/>
                <w:gridCol w:w="72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16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17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Responsabilidad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Administra el catálogo de asignaturas y tutores, y ve KPIs del programa.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Coordinador (Operador)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Confirma sesiones, asigna tutor y cierra la sesión.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Estudiante (Cliente)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Solicita y sigue sus sesiones de tutoría.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Consulta el timeline. Solo lectura. Útil para acreditación del programa.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 Alcance funcional mínimo</w:t>
      </w:r>
      <w:r w:rsidDel="00000000" w:rsidR="00000000" w:rsidRPr="00000000">
        <w:rPr>
          <w:rtl w:val="0"/>
        </w:rPr>
      </w:r>
    </w:p>
    <w:sdt>
      <w:sdtPr>
        <w:lock w:val="contentLocked"/>
        <w:id w:val="233246433"/>
        <w:tag w:val="goog_rdk_1"/>
      </w:sdtPr>
      <w:sdtContent>
        <w:tbl>
          <w:tblPr>
            <w:tblStyle w:val="Table2"/>
            <w:tblW w:w="1303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60"/>
            <w:gridCol w:w="5400"/>
            <w:gridCol w:w="2070"/>
            <w:gridCol w:w="3405"/>
            <w:tblGridChange w:id="0">
              <w:tblGrid>
                <w:gridCol w:w="2160"/>
                <w:gridCol w:w="5400"/>
                <w:gridCol w:w="2070"/>
                <w:gridCol w:w="34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1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2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3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4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Reglas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Gestión de sesiones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CRUD de sesiones y cambio de estado (SOLICITADA → CONFIRMADA → ASIGNADA → EN_CURSO → REALIZADA / CANCELADA)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Estudiante, Coordinador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No se puede pasar a EN_CURSO sin ASIGNAR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Catálogo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CRUD de asignaturas, tutores y bloques horarios disponibles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El bloque horario del tutor se bloquea al confirmar la sesión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Notificaciones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Email/push al estudiante y ticket de sesión al tutor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Coordinador, Estudiante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Envío asíncrono (cola)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1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Reportería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Panel de KPIs: sesiones por hora, tasa de asistencia*, estados activos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Datos por streaming (Kafka) sin bloquear el 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Timeline de eventos de la sesión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Solo 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120" w:before="28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Seguridad e identidad (IDaaS Azure + API Gateway)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App Registration “EduTutor”: clientId, redirectUri, authority = https://login.microsoftonline.com/&lt;TENANT_ID&gt;/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MSAL Angular: proteger rutas y adjuntar Bearer &lt;access_token&gt; a cada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AWS API Gateway (HTTP API) con JWT Authorizer: issuer https://login.microsoftonline.com/&lt;TENANT_ID&gt;/v2.0 y audiences api://&lt;API_CLIENT_ID&gt;.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Spring Security: validar el JWT con security.oauth2.resourceserver.jwt.issuer-uri y comprobar que el rol puede usar el endpoint llamado.</w:t>
      </w:r>
    </w:p>
    <w:p w:rsidR="00000000" w:rsidDel="00000000" w:rsidP="00000000" w:rsidRDefault="00000000" w:rsidRPr="00000000" w14:paraId="0000003E">
      <w:pPr>
        <w:spacing w:after="40" w:line="276" w:lineRule="auto"/>
        <w:ind w:left="0" w:firstLine="0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 Microservicios de dominio</w:t>
      </w:r>
      <w:r w:rsidDel="00000000" w:rsidR="00000000" w:rsidRPr="00000000">
        <w:rPr>
          <w:rtl w:val="0"/>
        </w:rPr>
      </w:r>
    </w:p>
    <w:sdt>
      <w:sdtPr>
        <w:lock w:val="contentLocked"/>
        <w:id w:val="1045947018"/>
        <w:tag w:val="goog_rdk_2"/>
      </w:sdtPr>
      <w:sdtContent>
        <w:tbl>
          <w:tblPr>
            <w:tblStyle w:val="Table3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640"/>
            <w:gridCol w:w="1995"/>
            <w:gridCol w:w="1110"/>
            <w:gridCol w:w="3765"/>
            <w:gridCol w:w="3525"/>
            <w:tblGridChange w:id="0">
              <w:tblGrid>
                <w:gridCol w:w="2640"/>
                <w:gridCol w:w="1995"/>
                <w:gridCol w:w="1110"/>
                <w:gridCol w:w="3765"/>
                <w:gridCol w:w="3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0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Servicio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Dominio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Responsabilidad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Exposición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ms-edututor-sessions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Sesiones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CRUD sesiones, estados, coordinación de bloques y notificación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/api/sessions/*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ms-edututor-catalog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Asignaturas / tutores / bloques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CRUD asignaturas, tutores, bloques y cupos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/api/catalog/*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ms-edututor-notify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Notificaciones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1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sin 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Procesa envío email/webpush y ticket de tutor vía RabbitMQ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 público (consumidor RabbitMQ)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ms-edututor-audit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 / timeline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Consume Kafka y persiste eventos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/api/audit/* (read-only)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ms-edututor-report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KPIs / analytics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Agregaciones y endpoints de lectura (consume Kafka)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/api/report/* (read-only)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Debes incluir además ms-edututor-bff (Spring Boot + Spring Security) como BFF detrás del API Gateway, más un microservicio administrador de RabbitMQ y otro de Kafka, según la pauta de cada evaluación.</w:t>
      </w:r>
    </w:p>
    <w:p w:rsidR="00000000" w:rsidDel="00000000" w:rsidP="00000000" w:rsidRDefault="00000000" w:rsidRPr="00000000" w14:paraId="00000060">
      <w:pPr>
        <w:spacing w:after="80" w:before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Endpoints esenciales (ejemplos)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6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4b"/>
          <w:sz w:val="24"/>
          <w:szCs w:val="24"/>
          <w:rtl w:val="0"/>
        </w:rPr>
        <w:t>ms-edututor-sessions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POST /api/sessions (crear sesión)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GET /api/sessions/{id}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PUT /api/sessions/{id}/status  body: { "status": "SOLICITADA|CONFIRMADA|ASIGNADA|EN_CURSO|REALIZADA|CANCELADA"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GET /api/sessions?status=...&amp;from=...&amp;to=...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6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4b"/>
          <w:sz w:val="24"/>
          <w:szCs w:val="24"/>
          <w:rtl w:val="0"/>
        </w:rPr>
        <w:t>ms-edututor-catalog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/api/catalog/services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POST /api/catalog/services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PUT /api/catalog/services/{id} (cupo/bloque)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6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4b"/>
          <w:sz w:val="24"/>
          <w:szCs w:val="24"/>
          <w:rtl w:val="0"/>
        </w:rPr>
        <w:t>ms-edututor-report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/api/report/kpis?range=last24h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/api/report/top-services?range=last7d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 Pantallas propuestas</w:t>
      </w:r>
      <w:r w:rsidDel="00000000" w:rsidR="00000000" w:rsidRPr="00000000">
        <w:rPr>
          <w:rtl w:val="0"/>
        </w:rPr>
      </w:r>
    </w:p>
    <w:sdt>
      <w:sdtPr>
        <w:lock w:val="contentLocked"/>
        <w:id w:val="-1556387456"/>
        <w:tag w:val="goog_rdk_3"/>
      </w:sdtPr>
      <w:sdtContent>
        <w:tbl>
          <w:tblPr>
            <w:tblStyle w:val="Table4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550"/>
            <w:gridCol w:w="1815"/>
            <w:gridCol w:w="2970"/>
            <w:gridCol w:w="5700"/>
            <w:tblGridChange w:id="0">
              <w:tblGrid>
                <w:gridCol w:w="2550"/>
                <w:gridCol w:w="1815"/>
                <w:gridCol w:w="2970"/>
                <w:gridCol w:w="5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6E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Pantalla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6F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Ruta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70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Roles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71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Función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público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MSAL. Botón «Iniciar sesión con Microsoft».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todos los autenticados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Admin: KPIs del programa. Coordinador: sesiones por confirmar y en curso. Estudiante: próximas sesiones y estado.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Sesiones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/sessions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Admin, Coordinador, Estudiante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Listar, crear (estudiante o coordinador) y cambiar estado (coordinador/admin).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Catálogo académico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/catalog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Admin, Coordinador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1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Asignaturas, tutores y bloques horarios.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Reportería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/reports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Sesiones por hora, tasa de asistencia, asignaturas más solicitadas.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/audit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Admin, 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Trazabilidad de la sesión. Filtros: usuario, fechas, tipo de evento.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after="12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El flujo de llamadas seguras es siempre: JWT → API Gateway → ms-edututor-bff → microservicio de dominio.</w:t>
      </w:r>
    </w:p>
    <w:p w:rsidR="00000000" w:rsidDel="00000000" w:rsidP="00000000" w:rsidRDefault="00000000" w:rsidRPr="00000000" w14:paraId="0000008C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 Despliegue (EC2 + Docker Compose)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ec2-apps: sessions-svc, catalog-svc, notify-svc, report-svc, audit-svc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ec2-mq: RabbitMQ (clúster de 2 nodos para las evaluaciones) con Management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ec2-kafka: Zookeeper (3 nodos) + Kafka (3 brokers) + Kafka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Un compose.yml para apps, otro para mq y otro para kafka.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Security Groups: abrir solo los puertos necesarios (AMQP/5672, Kafka/9092, HTTP APIs internas).</w:t>
      </w:r>
    </w:p>
    <w:p w:rsidR="00000000" w:rsidDel="00000000" w:rsidP="00000000" w:rsidRDefault="00000000" w:rsidRPr="00000000" w14:paraId="00000092">
      <w:pPr>
        <w:spacing w:after="80" w:before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Sugerencia de repositorios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/frontend-edututor (Angular + MSAL)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/ms-edututor-bff (Spring Boot, Spring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/ms-edututor-sessions (Spring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/ms-edututor-catalog (Spring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/ms-edututor-notify (Spring Boot, consumer RabbitMQ)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/ms-edututor-report (Spring Boot, consumer Kafka)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/ms-edututor-audit (Spring Boot, consumer Kafka)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/infra  →  /apps/compose.yml  ·  /mq/compose.yml  ·  /kafka/compose.yml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/docs/</w:t>
      </w:r>
    </w:p>
    <w:p w:rsidR="00000000" w:rsidDel="00000000" w:rsidP="00000000" w:rsidRDefault="00000000" w:rsidRPr="00000000" w14:paraId="0000009C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8. Topología RabbitMQ (6 colas: 3 flujos + 3 DLQ)</w:t>
      </w:r>
      <w:r w:rsidDel="00000000" w:rsidR="00000000" w:rsidRPr="00000000">
        <w:rPr>
          <w:rtl w:val="0"/>
        </w:rPr>
      </w:r>
    </w:p>
    <w:sdt>
      <w:sdtPr>
        <w:lock w:val="contentLocked"/>
        <w:id w:val="1040485616"/>
        <w:tag w:val="goog_rdk_4"/>
      </w:sdtPr>
      <w:sdtContent>
        <w:tbl>
          <w:tblPr>
            <w:tblStyle w:val="Table5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40"/>
            <w:gridCol w:w="4440"/>
            <w:gridCol w:w="2310"/>
            <w:gridCol w:w="2280"/>
            <w:gridCol w:w="1965"/>
            <w:tblGridChange w:id="0">
              <w:tblGrid>
                <w:gridCol w:w="2040"/>
                <w:gridCol w:w="4440"/>
                <w:gridCol w:w="2310"/>
                <w:gridCol w:w="2280"/>
                <w:gridCol w:w="1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D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Cola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E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F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A0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Binding direct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A1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Binding topic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Email/push al estudiante (confirmada, tutor asignado, realizada)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q.cmd.email.dlq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email.send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email.*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q.cmd.session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Ticket de sesión / hoja de trabajo al tutor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q.cmd.session.dlq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session.ticket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session.#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q.cmd.certificate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Generación de PDF (constancia de asistencia o informe de avance)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q.cmd.certificate.dlq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certificate.gen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certificate.*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spacing w:after="12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Exchanges: cmd.direct (direct), cmd.topic (topic) y cmd.dead.dlx (direct, para DLQ).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Buenas prácticas: envelope común (type, eventId, timestamp, traceId, correlationId), ACK/NACK explícitos, idempotencia y métricas de tasa de DLQ.</w:t>
      </w:r>
    </w:p>
    <w:p w:rsidR="00000000" w:rsidDel="00000000" w:rsidP="00000000" w:rsidRDefault="00000000" w:rsidRPr="00000000" w14:paraId="000000B2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9. Topología Kafka</w:t>
      </w:r>
      <w:r w:rsidDel="00000000" w:rsidR="00000000" w:rsidRPr="00000000">
        <w:rPr>
          <w:rtl w:val="0"/>
        </w:rPr>
      </w:r>
    </w:p>
    <w:sdt>
      <w:sdtPr>
        <w:lock w:val="contentLocked"/>
        <w:id w:val="-1257375282"/>
        <w:tag w:val="goog_rdk_5"/>
      </w:sdtPr>
      <w:sdtContent>
        <w:tbl>
          <w:tblPr>
            <w:tblStyle w:val="Table6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35"/>
            <w:gridCol w:w="1425"/>
            <w:gridCol w:w="1425"/>
            <w:gridCol w:w="1695"/>
            <w:gridCol w:w="1695"/>
            <w:gridCol w:w="4560"/>
            <w:tblGridChange w:id="0">
              <w:tblGrid>
                <w:gridCol w:w="2235"/>
                <w:gridCol w:w="1425"/>
                <w:gridCol w:w="1425"/>
                <w:gridCol w:w="1695"/>
                <w:gridCol w:w="1695"/>
                <w:gridCol w:w="4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3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Tópico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4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Particiones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5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Réplicas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6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Política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7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Retención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8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sessions.events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3–7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Fuente de verdad de eventos de la sesión. Alimenta reportería y auditoría.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B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audit.timeline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1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compact,delete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14–30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Historial quién / qué / cuándo / desde dónde.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*.DLT (por consumidor)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7–14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Mensajes que fallaron tras N reintentos, con metadatos de error.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spacing w:after="160" w:before="40" w:line="288" w:lineRule="auto"/>
        <w:jc w:val="both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18" w:top="1276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Gadug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Subdirección de Diseño Instrucciona</w:t>
    </w:r>
    <w:r w:rsidDel="00000000" w:rsidR="00000000" w:rsidRPr="00000000">
      <w:rPr>
        <w:rFonts w:ascii="Calibri" w:cs="Calibri" w:eastAsia="Calibri" w:hAnsi="Calibri"/>
        <w:color w:val="b7b7b7"/>
        <w:sz w:val="18"/>
        <w:szCs w:val="18"/>
        <w:rtl w:val="0"/>
      </w:rPr>
      <w:t xml:space="preserve">l</w:t>
      <w:br w:type="textWrapping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Calibri" w:cs="Calibri" w:eastAsia="Calibri" w:hAnsi="Calibri"/>
        <w:color w:val="b7b7b7"/>
        <w:sz w:val="18"/>
        <w:szCs w:val="18"/>
        <w:rtl w:val="0"/>
      </w:rPr>
      <w:t xml:space="preserve">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  <w:drawing>
        <wp:inline distB="0" distT="0" distL="0" distR="0">
          <wp:extent cx="1803964" cy="409866"/>
          <wp:effectExtent b="0" l="0" r="0" t="0"/>
          <wp:docPr id="194263249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3964" cy="4098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DefaultParagraphFont"/>
    <w:link w:val="Encabezado"/>
    <w:uiPriority w:val="1"/>
    <w:rsid w:val="00D62B64"/>
  </w:style>
  <w:style w:type="paragraph" w:styleId="Piedepgina">
    <w:name w:val="footer"/>
    <w:basedOn w:val="Normal"/>
    <w:link w:val="PiedepginaCar"/>
    <w:uiPriority w:val="99"/>
    <w:unhideWhenUsed w:val="1"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DefaultParagraphFont"/>
    <w:link w:val="Piedepgina"/>
    <w:uiPriority w:val="99"/>
    <w:rsid w:val="00D62B6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D58AF"/>
    <w:rPr>
      <w:rFonts w:ascii="Tahoma" w:cs="Tahoma" w:hAnsi="Tahoma" w:eastAsiaTheme="minorHAnsi"/>
      <w:sz w:val="16"/>
      <w:szCs w:val="16"/>
      <w:lang w:eastAsia="en-US" w:val="es-CL"/>
    </w:rPr>
  </w:style>
  <w:style w:type="character" w:styleId="TextodegloboCar" w:customStyle="1">
    <w:name w:val="Texto de globo Car"/>
    <w:basedOn w:val="DefaultParagraphFont"/>
    <w:link w:val="Textodeglobo"/>
    <w:uiPriority w:val="99"/>
    <w:semiHidden w:val="1"/>
    <w:rsid w:val="00D62B64"/>
    <w:rPr>
      <w:rFonts w:ascii="Tahoma" w:cs="Tahoma" w:hAnsi="Tahoma"/>
      <w:sz w:val="16"/>
      <w:szCs w:val="16"/>
    </w:rPr>
  </w:style>
  <w:style w:type="character" w:styleId="Refdecomentario">
    <w:name w:val="annotation reference"/>
    <w:basedOn w:val="DefaultParagraphFont"/>
    <w:uiPriority w:val="99"/>
    <w:semiHidden w:val="1"/>
    <w:unhideWhenUsed w:val="1"/>
    <w:rsid w:val="00D62B6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E206DF"/>
    <w:pPr>
      <w:spacing w:after="200"/>
    </w:pPr>
    <w:rPr>
      <w:rFonts w:asciiTheme="minorHAnsi" w:cstheme="minorBidi" w:eastAsiaTheme="minorHAnsi" w:hAnsiTheme="minorHAnsi"/>
      <w:lang w:eastAsia="en-US" w:val="es-CL"/>
    </w:rPr>
  </w:style>
  <w:style w:type="character" w:styleId="TextocomentarioCar" w:customStyle="1">
    <w:name w:val="Texto comentario Car"/>
    <w:basedOn w:val="DefaultParagraphFont"/>
    <w:link w:val="Textocomentario"/>
    <w:uiPriority w:val="99"/>
    <w:rsid w:val="00D62B64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DefaultParagraphFont"/>
    <w:link w:val="Textosinformato"/>
    <w:uiPriority w:val="1"/>
    <w:rsid w:val="00D62B64"/>
    <w:rPr>
      <w:rFonts w:ascii="Courier New" w:cs="Times New Roman" w:eastAsia="Times New Roman" w:hAnsi="Courier New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after="0" w:before="40" w:line="240" w:lineRule="auto"/>
    </w:pPr>
    <w:rPr>
      <w:color w:val="595959" w:themeColor="text1" w:themeTint="0000A6"/>
      <w:sz w:val="20"/>
      <w:szCs w:val="20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E206DF"/>
    <w:rPr>
      <w:rFonts w:asciiTheme="minorHAnsi" w:cstheme="minorBidi" w:eastAsiaTheme="minorHAnsi" w:hAnsiTheme="minorHAnsi"/>
      <w:noProof w:val="1"/>
      <w:lang w:eastAsia="en-US" w:val="es-CL"/>
    </w:rPr>
  </w:style>
  <w:style w:type="character" w:styleId="TextonotapieCar" w:customStyle="1">
    <w:name w:val="Texto nota pie Car"/>
    <w:basedOn w:val="DefaultParagraphFont"/>
    <w:link w:val="Textonotapie"/>
    <w:uiPriority w:val="99"/>
    <w:semiHidden w:val="1"/>
    <w:rsid w:val="00D62B64"/>
    <w:rPr>
      <w:noProof w:val="1"/>
      <w:sz w:val="20"/>
      <w:szCs w:val="20"/>
    </w:rPr>
  </w:style>
  <w:style w:type="character" w:styleId="Refdenotaalpie">
    <w:name w:val="footnote reference"/>
    <w:basedOn w:val="DefaultParagraphFont"/>
    <w:uiPriority w:val="99"/>
    <w:semiHidden w:val="1"/>
    <w:unhideWhenUsed w:val="1"/>
    <w:rsid w:val="00D62B64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 w:val="1"/>
    <w:qFormat w:val="1"/>
    <w:rsid w:val="00833E13"/>
    <w:pPr>
      <w:spacing w:after="160" w:before="40" w:line="288" w:lineRule="auto"/>
      <w:ind w:left="720"/>
      <w:contextualSpacing w:val="1"/>
    </w:pPr>
    <w:rPr>
      <w:rFonts w:asciiTheme="minorHAnsi" w:cstheme="minorBidi" w:eastAsiaTheme="minorHAnsi" w:hAnsiTheme="minorHAnsi"/>
      <w:color w:val="595959" w:themeColor="text1" w:themeTint="0000A6"/>
      <w:kern w:val="20"/>
      <w:lang w:eastAsia="ja-JP" w:val="en-US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0000A6"/>
      <w:kern w:val="20"/>
      <w:sz w:val="20"/>
      <w:szCs w:val="20"/>
      <w:lang w:eastAsia="ja-JP" w:val="en-US"/>
    </w:rPr>
  </w:style>
  <w:style w:type="paragraph" w:styleId="Default" w:customStyle="1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34FAC"/>
    <w:pPr>
      <w:spacing w:after="0"/>
    </w:pPr>
    <w:rPr>
      <w:rFonts w:ascii="Times New Roman" w:cs="Times New Roman" w:eastAsia="Times New Roman" w:hAnsi="Times New Roman"/>
      <w:b w:val="1"/>
      <w:bCs w:val="1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34FAC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4485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table" w:styleId="Cuadrculadetab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normaltextrun" w:customStyle="1">
    <w:name w:val="normaltextrun"/>
    <w:basedOn w:val="DefaultParagraphFont"/>
    <w:uiPriority w:val="1"/>
    <w:rsid w:val="00D62B64"/>
  </w:style>
  <w:style w:type="character" w:styleId="eop" w:customStyle="1">
    <w:name w:val="eop"/>
    <w:basedOn w:val="DefaultParagraphFont"/>
    <w:uiPriority w:val="1"/>
    <w:rsid w:val="00D62B64"/>
  </w:style>
  <w:style w:type="character" w:styleId="Hipervnculo">
    <w:name w:val="Hyperlink"/>
    <w:basedOn w:val="DefaultParagraphFont"/>
    <w:uiPriority w:val="99"/>
    <w:semiHidden w:val="1"/>
    <w:unhideWhenUsed w:val="1"/>
    <w:rsid w:val="00D62B64"/>
    <w:rPr>
      <w:color w:val="0000ff"/>
      <w:u w:val="single"/>
    </w:rPr>
  </w:style>
  <w:style w:type="paragraph" w:styleId="paragraph" w:customStyle="1">
    <w:name w:val="paragraph"/>
    <w:basedOn w:val="Normal"/>
    <w:rsid w:val="00CC6EAA"/>
    <w:pPr>
      <w:spacing w:after="100" w:afterAutospacing="1" w:before="100" w:beforeAutospacing="1"/>
    </w:pPr>
    <w:rPr>
      <w:sz w:val="24"/>
      <w:szCs w:val="24"/>
      <w:lang w:eastAsia="es-CL" w:val="es-CL"/>
    </w:rPr>
  </w:style>
  <w:style w:type="table" w:styleId="Tabladecuadrcula4-nfasis3">
    <w:name w:val="Grid Table 4 Accent 3"/>
    <w:basedOn w:val="Tablanormal"/>
    <w:uiPriority w:val="49"/>
    <w:rsid w:val="00B27652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cuadrcula1clara-nfasis3">
    <w:name w:val="Grid Table 1 Light Accent 3"/>
    <w:basedOn w:val="Tablanormal"/>
    <w:uiPriority w:val="46"/>
    <w:rsid w:val="00B27652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NormalWeb">
    <w:name w:val="Normal (Web)"/>
    <w:basedOn w:val="Normal"/>
    <w:uiPriority w:val="99"/>
    <w:semiHidden w:val="1"/>
    <w:unhideWhenUsed w:val="1"/>
    <w:rsid w:val="003F3CA7"/>
    <w:pPr>
      <w:spacing w:after="100" w:afterAutospacing="1" w:before="100" w:beforeAutospacing="1"/>
    </w:pPr>
    <w:rPr>
      <w:sz w:val="24"/>
      <w:szCs w:val="24"/>
      <w:lang w:eastAsia="en-US" w:val="en-US"/>
    </w:rPr>
  </w:style>
  <w:style w:type="character" w:styleId="Emphasis">
    <w:name w:val="Emphasis"/>
    <w:basedOn w:val="DefaultParagraphFont"/>
    <w:uiPriority w:val="20"/>
    <w:qFormat w:val="1"/>
    <w:rsid w:val="00D62B64"/>
    <w:rPr>
      <w:i w:val="1"/>
      <w:iCs w:val="1"/>
    </w:rPr>
  </w:style>
  <w:style w:type="table" w:styleId="ListTable4-Accent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Ind w:w="0.0" w:type="dxa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GridTable4-Accent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Ind w:w="0.0" w:type="dxa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iTIATyAd5fEGDFmjZvLeYQ2Chw==">CgMxLjAaHwoBMBIaChgICVIUChJ0YWJsZS5yaGtlajVzZXVscWoaHwoBMRIaChgICVIUChJ0YWJsZS4zazBtbHM3bnl5MTgaHwoBMhIaChgICVIUChJ0YWJsZS5kbmNwdmgzOGF3aGMaHwoBMxIaChgICVIUChJ0YWJsZS41dXA3NXlzNGxpOGwaHwoBNBIaChgICVIUChJ0YWJsZS5vcmxzd3M4bDhpMG0aHwoBNRIaChgICVIUChJ0YWJsZS5raDJpdXZ3N2wyb2s4AHIhMXQxbExfSW1VUThCSERuQlZIeVE1RDM4MXZ1Y3pWaV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2024-04-12T11:54:00Z</dcterms:created>
  <dc:creator>Maria Cristina Plaza M.</dc:creator>
  <dc:title>Caso 10 - EduTutor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0x0101001EF7904F2152514DA8723AFD6C400489</vt:lpwstr>
  </property>
  <property fmtid="{D5CDD505-2E9C-101B-9397-08002B2CF9AE}" pid="3" name="MediaServiceImageTags">
    <vt:lpwstr/>
  </property>
  <property fmtid="{D5CDD505-2E9C-101B-9397-08002B2CF9AE}" pid="4" name="Order">
    <vt:r8>2900.0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