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43" w:lineRule="exact"/>
        <w:rPr>
          <w:color w:val="auto"/>
          <w:sz w:val="24"/>
          <w:szCs w:val="24"/>
        </w:rPr>
      </w:pPr>
    </w:p>
    <w:p>
      <w:pPr>
        <w:spacing w:after="0" w:line="731" w:lineRule="exact"/>
        <w:jc w:val="center"/>
        <w:rPr>
          <w:rFonts w:hint="eastAsia" w:ascii="黑体" w:hAnsi="黑体" w:eastAsia="黑体" w:cs="黑体"/>
          <w:b/>
          <w:bCs w:val="0"/>
          <w:sz w:val="72"/>
          <w:szCs w:val="72"/>
        </w:rPr>
      </w:pPr>
    </w:p>
    <w:p>
      <w:pPr>
        <w:spacing w:after="0" w:line="731" w:lineRule="exact"/>
        <w:jc w:val="center"/>
        <w:rPr>
          <w:rFonts w:hint="eastAsia" w:ascii="黑体" w:hAnsi="黑体" w:eastAsia="黑体" w:cs="黑体"/>
          <w:b/>
          <w:bCs w:val="0"/>
          <w:sz w:val="72"/>
          <w:szCs w:val="72"/>
        </w:rPr>
      </w:pPr>
    </w:p>
    <w:p>
      <w:pPr>
        <w:spacing w:after="0" w:line="731" w:lineRule="exact"/>
        <w:jc w:val="center"/>
        <w:rPr>
          <w:rFonts w:hint="eastAsia" w:ascii="黑体" w:hAnsi="黑体" w:eastAsia="黑体" w:cs="黑体"/>
          <w:b/>
          <w:bCs w:val="0"/>
          <w:sz w:val="72"/>
          <w:szCs w:val="72"/>
        </w:rPr>
      </w:pPr>
    </w:p>
    <w:p>
      <w:pPr>
        <w:spacing w:after="0" w:line="731" w:lineRule="exact"/>
        <w:jc w:val="center"/>
        <w:rPr>
          <w:rFonts w:hint="eastAsia" w:ascii="黑体" w:hAnsi="黑体" w:eastAsia="黑体" w:cs="黑体"/>
          <w:b/>
          <w:bCs w:val="0"/>
          <w:sz w:val="72"/>
          <w:szCs w:val="72"/>
        </w:rPr>
      </w:pPr>
    </w:p>
    <w:p>
      <w:pPr>
        <w:spacing w:after="0" w:line="731" w:lineRule="exact"/>
        <w:jc w:val="center"/>
        <w:rPr>
          <w:rFonts w:hint="eastAsia" w:ascii="黑体" w:hAnsi="黑体" w:eastAsia="黑体" w:cs="黑体"/>
          <w:b/>
          <w:bCs w:val="0"/>
          <w:sz w:val="72"/>
          <w:szCs w:val="72"/>
        </w:rPr>
      </w:pPr>
    </w:p>
    <w:p>
      <w:pPr>
        <w:spacing w:after="0" w:line="731" w:lineRule="exact"/>
        <w:jc w:val="center"/>
        <w:rPr>
          <w:rFonts w:hint="eastAsia" w:ascii="黑体" w:hAnsi="黑体" w:eastAsia="黑体" w:cs="黑体"/>
          <w:b/>
          <w:bCs w:val="0"/>
          <w:sz w:val="72"/>
          <w:szCs w:val="72"/>
        </w:rPr>
      </w:pPr>
    </w:p>
    <w:p>
      <w:pPr>
        <w:spacing w:after="0" w:line="731" w:lineRule="exact"/>
        <w:jc w:val="center"/>
        <w:rPr>
          <w:rFonts w:hint="eastAsia" w:asciiTheme="majorEastAsia" w:hAnsiTheme="majorEastAsia" w:eastAsiaTheme="majorEastAsia" w:cstheme="majorEastAsia"/>
          <w:b/>
          <w:bCs/>
          <w:color w:val="auto"/>
          <w:sz w:val="52"/>
          <w:szCs w:val="52"/>
        </w:rPr>
      </w:pPr>
      <w:r>
        <w:rPr>
          <w:rFonts w:hint="eastAsia" w:asciiTheme="majorEastAsia" w:hAnsiTheme="majorEastAsia" w:eastAsiaTheme="majorEastAsia" w:cstheme="majorEastAsia"/>
          <w:b/>
          <w:bCs w:val="0"/>
          <w:sz w:val="52"/>
          <w:szCs w:val="52"/>
        </w:rPr>
        <w:t>中移在线服务有限公司</w:t>
      </w:r>
      <w:r>
        <w:rPr>
          <w:rFonts w:hint="eastAsia" w:asciiTheme="majorEastAsia" w:hAnsiTheme="majorEastAsia" w:eastAsiaTheme="majorEastAsia" w:cstheme="majorEastAsia"/>
          <w:b/>
          <w:bCs w:val="0"/>
          <w:color w:val="auto"/>
          <w:sz w:val="52"/>
          <w:szCs w:val="52"/>
          <w:lang w:eastAsia="zh-CN"/>
        </w:rPr>
        <w:t>网络</w:t>
      </w:r>
      <w:r>
        <w:rPr>
          <w:rFonts w:hint="eastAsia" w:asciiTheme="majorEastAsia" w:hAnsiTheme="majorEastAsia" w:eastAsiaTheme="majorEastAsia" w:cstheme="majorEastAsia"/>
          <w:b/>
          <w:bCs w:val="0"/>
          <w:color w:val="auto"/>
          <w:sz w:val="52"/>
          <w:szCs w:val="52"/>
        </w:rPr>
        <w:t>设备安装规范</w:t>
      </w:r>
      <w:r>
        <w:rPr>
          <w:rFonts w:hint="eastAsia" w:asciiTheme="majorEastAsia" w:hAnsiTheme="majorEastAsia" w:eastAsiaTheme="majorEastAsia" w:cstheme="majorEastAsia"/>
          <w:b/>
          <w:bCs w:val="0"/>
          <w:color w:val="auto"/>
          <w:sz w:val="52"/>
          <w:szCs w:val="52"/>
          <w:lang w:val="en-US" w:eastAsia="zh-CN"/>
        </w:rPr>
        <w:t>V1.1</w:t>
      </w:r>
    </w:p>
    <w:p>
      <w:pPr>
        <w:rPr>
          <w:rFonts w:hint="eastAsia" w:asciiTheme="majorEastAsia" w:hAnsiTheme="majorEastAsia" w:eastAsiaTheme="majorEastAsia" w:cstheme="majorEastAsia"/>
          <w:b/>
          <w:bCs/>
          <w:sz w:val="52"/>
          <w:szCs w:val="52"/>
        </w:rPr>
        <w:sectPr>
          <w:headerReference r:id="rId3" w:type="default"/>
          <w:pgSz w:w="19120" w:h="27080"/>
          <w:pgMar w:top="1440" w:right="1440" w:bottom="685" w:left="1440" w:header="0" w:footer="0" w:gutter="0"/>
          <w:cols w:equalWidth="0" w:num="1">
            <w:col w:w="1624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ectPr>
          <w:type w:val="continuous"/>
          <w:pgSz w:w="19120" w:h="27080"/>
          <w:pgMar w:top="1440" w:right="1440" w:bottom="685" w:left="1440" w:header="0" w:footer="0" w:gutter="0"/>
          <w:cols w:equalWidth="0" w:num="1">
            <w:col w:w="1624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ind w:left="14720"/>
        <w:sectPr>
          <w:type w:val="continuous"/>
          <w:pgSz w:w="19120" w:h="27080"/>
          <w:pgMar w:top="1440" w:right="1440" w:bottom="685" w:left="1440" w:header="0" w:footer="0" w:gutter="0"/>
          <w:cols w:equalWidth="0" w:num="1">
            <w:col w:w="16240"/>
          </w:cols>
        </w:sectPr>
      </w:pPr>
    </w:p>
    <w:p>
      <w:pPr>
        <w:spacing w:after="0" w:line="200" w:lineRule="exact"/>
        <w:rPr>
          <w:color w:val="auto"/>
          <w:sz w:val="20"/>
          <w:szCs w:val="20"/>
        </w:rPr>
      </w:pPr>
      <w:bookmarkStart w:id="1" w:name="page2"/>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pStyle w:val="21"/>
        <w:spacing w:line="360" w:lineRule="auto"/>
        <w:ind w:firstLine="7223" w:firstLineChars="1800"/>
        <w:jc w:val="both"/>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版本号：1.</w:t>
      </w:r>
      <w:r>
        <w:rPr>
          <w:rFonts w:hint="eastAsia" w:asciiTheme="majorEastAsia" w:hAnsiTheme="majorEastAsia" w:eastAsiaTheme="majorEastAsia" w:cstheme="majorEastAsia"/>
          <w:sz w:val="32"/>
          <w:szCs w:val="32"/>
          <w:lang w:val="en-US" w:eastAsia="zh-CN"/>
        </w:rPr>
        <w:t>1</w:t>
      </w:r>
    </w:p>
    <w:p>
      <w:pPr>
        <w:spacing w:after="0" w:line="213" w:lineRule="exact"/>
        <w:rPr>
          <w:color w:val="auto"/>
          <w:sz w:val="20"/>
          <w:szCs w:val="20"/>
        </w:rPr>
      </w:pPr>
    </w:p>
    <w:tbl>
      <w:tblPr>
        <w:tblStyle w:val="19"/>
        <w:tblpPr w:leftFromText="180" w:rightFromText="180" w:vertAnchor="page" w:horzAnchor="page" w:tblpX="3618" w:tblpY="21511"/>
        <w:tblOverlap w:val="never"/>
        <w:tblW w:w="119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2579"/>
        <w:gridCol w:w="2580"/>
        <w:gridCol w:w="2580"/>
        <w:gridCol w:w="2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1" w:hRule="atLeast"/>
        </w:trPr>
        <w:tc>
          <w:tcPr>
            <w:tcW w:w="2062" w:type="dxa"/>
            <w:vAlign w:val="top"/>
          </w:tcPr>
          <w:p>
            <w:pPr>
              <w:pStyle w:val="22"/>
              <w:spacing w:line="360" w:lineRule="auto"/>
              <w:jc w:val="center"/>
              <w:rPr>
                <w:rFonts w:ascii="宋体" w:hAnsi="宋体" w:eastAsia="宋体"/>
                <w:sz w:val="28"/>
                <w:szCs w:val="28"/>
              </w:rPr>
            </w:pPr>
            <w:r>
              <w:rPr>
                <w:rFonts w:hint="eastAsia" w:ascii="宋体" w:hAnsi="宋体" w:eastAsia="宋体"/>
                <w:sz w:val="28"/>
                <w:szCs w:val="28"/>
              </w:rPr>
              <w:t>序号</w:t>
            </w:r>
          </w:p>
        </w:tc>
        <w:tc>
          <w:tcPr>
            <w:tcW w:w="2579" w:type="dxa"/>
            <w:vAlign w:val="top"/>
          </w:tcPr>
          <w:p>
            <w:pPr>
              <w:pStyle w:val="22"/>
              <w:spacing w:line="360" w:lineRule="auto"/>
              <w:jc w:val="center"/>
              <w:rPr>
                <w:rFonts w:ascii="宋体" w:hAnsi="宋体" w:eastAsia="宋体"/>
                <w:sz w:val="28"/>
                <w:szCs w:val="28"/>
              </w:rPr>
            </w:pPr>
            <w:r>
              <w:rPr>
                <w:rFonts w:hint="eastAsia" w:ascii="宋体" w:hAnsi="宋体" w:eastAsia="宋体"/>
                <w:sz w:val="28"/>
                <w:szCs w:val="28"/>
              </w:rPr>
              <w:t>版本号</w:t>
            </w:r>
          </w:p>
        </w:tc>
        <w:tc>
          <w:tcPr>
            <w:tcW w:w="2580" w:type="dxa"/>
            <w:vAlign w:val="top"/>
          </w:tcPr>
          <w:p>
            <w:pPr>
              <w:pStyle w:val="22"/>
              <w:spacing w:line="360" w:lineRule="auto"/>
              <w:jc w:val="center"/>
              <w:rPr>
                <w:rFonts w:ascii="宋体" w:hAnsi="宋体" w:eastAsia="宋体"/>
                <w:sz w:val="28"/>
                <w:szCs w:val="28"/>
              </w:rPr>
            </w:pPr>
            <w:r>
              <w:rPr>
                <w:rFonts w:hint="eastAsia" w:ascii="宋体" w:hAnsi="宋体" w:eastAsia="宋体"/>
                <w:sz w:val="28"/>
                <w:szCs w:val="28"/>
              </w:rPr>
              <w:t>更改人</w:t>
            </w:r>
          </w:p>
        </w:tc>
        <w:tc>
          <w:tcPr>
            <w:tcW w:w="2580" w:type="dxa"/>
            <w:vAlign w:val="top"/>
          </w:tcPr>
          <w:p>
            <w:pPr>
              <w:pStyle w:val="22"/>
              <w:spacing w:line="360" w:lineRule="auto"/>
              <w:jc w:val="center"/>
              <w:rPr>
                <w:rFonts w:ascii="宋体" w:hAnsi="宋体" w:eastAsia="宋体"/>
                <w:sz w:val="28"/>
                <w:szCs w:val="28"/>
              </w:rPr>
            </w:pPr>
            <w:r>
              <w:rPr>
                <w:rFonts w:hint="eastAsia" w:ascii="宋体" w:hAnsi="宋体" w:eastAsia="宋体"/>
                <w:sz w:val="28"/>
                <w:szCs w:val="28"/>
              </w:rPr>
              <w:t>更改日期</w:t>
            </w:r>
          </w:p>
        </w:tc>
        <w:tc>
          <w:tcPr>
            <w:tcW w:w="2148" w:type="dxa"/>
            <w:vAlign w:val="top"/>
          </w:tcPr>
          <w:p>
            <w:pPr>
              <w:pStyle w:val="22"/>
              <w:spacing w:line="360" w:lineRule="auto"/>
              <w:jc w:val="center"/>
              <w:rPr>
                <w:rFonts w:ascii="宋体" w:hAnsi="宋体" w:eastAsia="宋体"/>
                <w:sz w:val="28"/>
                <w:szCs w:val="28"/>
              </w:rPr>
            </w:pPr>
            <w:r>
              <w:rPr>
                <w:rFonts w:hint="eastAsia" w:ascii="宋体" w:hAnsi="宋体" w:eastAsia="宋体"/>
                <w:sz w:val="28"/>
                <w:szCs w:val="28"/>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1" w:hRule="atLeast"/>
        </w:trPr>
        <w:tc>
          <w:tcPr>
            <w:tcW w:w="2062" w:type="dxa"/>
            <w:vAlign w:val="top"/>
          </w:tcPr>
          <w:p>
            <w:pPr>
              <w:pStyle w:val="22"/>
              <w:spacing w:line="360" w:lineRule="auto"/>
              <w:jc w:val="center"/>
              <w:rPr>
                <w:rFonts w:ascii="宋体" w:hAnsi="宋体" w:eastAsia="宋体"/>
                <w:sz w:val="28"/>
                <w:szCs w:val="28"/>
              </w:rPr>
            </w:pPr>
            <w:r>
              <w:rPr>
                <w:rFonts w:hint="eastAsia" w:ascii="宋体" w:hAnsi="宋体" w:eastAsia="宋体"/>
                <w:sz w:val="28"/>
                <w:szCs w:val="28"/>
              </w:rPr>
              <w:t>1</w:t>
            </w:r>
          </w:p>
        </w:tc>
        <w:tc>
          <w:tcPr>
            <w:tcW w:w="2579" w:type="dxa"/>
            <w:vAlign w:val="top"/>
          </w:tcPr>
          <w:p>
            <w:pPr>
              <w:pStyle w:val="22"/>
              <w:spacing w:line="360" w:lineRule="auto"/>
              <w:jc w:val="center"/>
              <w:rPr>
                <w:rFonts w:ascii="宋体" w:hAnsi="宋体" w:eastAsia="宋体"/>
                <w:sz w:val="28"/>
                <w:szCs w:val="28"/>
              </w:rPr>
            </w:pPr>
            <w:r>
              <w:rPr>
                <w:rFonts w:ascii="宋体" w:hAnsi="宋体" w:eastAsia="宋体"/>
                <w:sz w:val="28"/>
                <w:szCs w:val="28"/>
              </w:rPr>
              <w:t>V</w:t>
            </w:r>
            <w:r>
              <w:rPr>
                <w:rFonts w:hint="eastAsia" w:ascii="宋体" w:hAnsi="宋体" w:eastAsia="宋体"/>
                <w:sz w:val="28"/>
                <w:szCs w:val="28"/>
              </w:rPr>
              <w:t>1.</w:t>
            </w:r>
            <w:r>
              <w:rPr>
                <w:rFonts w:hint="eastAsia" w:ascii="宋体" w:hAnsi="宋体" w:eastAsia="宋体"/>
                <w:sz w:val="28"/>
                <w:szCs w:val="28"/>
                <w:lang w:val="en-US" w:eastAsia="zh-CN"/>
              </w:rPr>
              <w:t>0</w:t>
            </w:r>
          </w:p>
        </w:tc>
        <w:tc>
          <w:tcPr>
            <w:tcW w:w="2580" w:type="dxa"/>
            <w:vAlign w:val="top"/>
          </w:tcPr>
          <w:p>
            <w:pPr>
              <w:pStyle w:val="22"/>
              <w:spacing w:line="360" w:lineRule="auto"/>
              <w:jc w:val="center"/>
              <w:rPr>
                <w:rFonts w:hint="eastAsia" w:ascii="宋体" w:hAnsi="宋体" w:eastAsia="宋体"/>
                <w:sz w:val="28"/>
                <w:szCs w:val="28"/>
                <w:lang w:eastAsia="zh-CN"/>
              </w:rPr>
            </w:pPr>
            <w:r>
              <w:rPr>
                <w:rFonts w:hint="eastAsia" w:ascii="宋体" w:hAnsi="宋体" w:eastAsia="宋体"/>
                <w:sz w:val="28"/>
                <w:szCs w:val="28"/>
                <w:lang w:eastAsia="zh-CN"/>
              </w:rPr>
              <w:t>李超</w:t>
            </w:r>
          </w:p>
        </w:tc>
        <w:tc>
          <w:tcPr>
            <w:tcW w:w="2580" w:type="dxa"/>
            <w:vAlign w:val="top"/>
          </w:tcPr>
          <w:p>
            <w:pPr>
              <w:pStyle w:val="22"/>
              <w:spacing w:line="360" w:lineRule="auto"/>
              <w:jc w:val="center"/>
              <w:rPr>
                <w:rFonts w:ascii="宋体" w:hAnsi="宋体" w:eastAsia="宋体"/>
                <w:sz w:val="28"/>
                <w:szCs w:val="28"/>
              </w:rPr>
            </w:pPr>
            <w:r>
              <w:rPr>
                <w:rFonts w:ascii="宋体" w:hAnsi="宋体" w:eastAsia="宋体"/>
                <w:sz w:val="28"/>
                <w:szCs w:val="28"/>
              </w:rPr>
              <w:t>2017/</w:t>
            </w:r>
            <w:r>
              <w:rPr>
                <w:rFonts w:hint="eastAsia" w:ascii="宋体" w:hAnsi="宋体" w:eastAsia="宋体"/>
                <w:sz w:val="28"/>
                <w:szCs w:val="28"/>
                <w:lang w:val="en-US" w:eastAsia="zh-CN"/>
              </w:rPr>
              <w:t>12</w:t>
            </w:r>
            <w:r>
              <w:rPr>
                <w:rFonts w:ascii="宋体" w:hAnsi="宋体" w:eastAsia="宋体"/>
                <w:sz w:val="28"/>
                <w:szCs w:val="28"/>
              </w:rPr>
              <w:t>/</w:t>
            </w:r>
            <w:r>
              <w:rPr>
                <w:rFonts w:hint="eastAsia" w:ascii="宋体" w:hAnsi="宋体" w:eastAsia="宋体"/>
                <w:sz w:val="28"/>
                <w:szCs w:val="28"/>
                <w:lang w:val="en-US" w:eastAsia="zh-CN"/>
              </w:rPr>
              <w:t>10</w:t>
            </w:r>
          </w:p>
        </w:tc>
        <w:tc>
          <w:tcPr>
            <w:tcW w:w="2148" w:type="dxa"/>
            <w:vAlign w:val="top"/>
          </w:tcPr>
          <w:p>
            <w:pPr>
              <w:pStyle w:val="22"/>
              <w:spacing w:line="360" w:lineRule="auto"/>
              <w:jc w:val="center"/>
              <w:rPr>
                <w:rFonts w:hint="eastAsia" w:ascii="宋体" w:hAnsi="宋体" w:eastAsia="宋体"/>
                <w:sz w:val="28"/>
                <w:szCs w:val="28"/>
                <w:lang w:val="en-US" w:eastAsia="zh-CN"/>
              </w:rPr>
            </w:pPr>
            <w:r>
              <w:rPr>
                <w:rFonts w:hint="eastAsia" w:ascii="宋体" w:hAnsi="宋体" w:eastAsia="宋体"/>
                <w:sz w:val="28"/>
                <w:szCs w:val="28"/>
                <w:lang w:val="en-US" w:eastAsia="zh-CN"/>
              </w:rPr>
              <w:t>白子玉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 w:hRule="atLeast"/>
        </w:trPr>
        <w:tc>
          <w:tcPr>
            <w:tcW w:w="2062" w:type="dxa"/>
            <w:vAlign w:val="top"/>
          </w:tcPr>
          <w:p>
            <w:pPr>
              <w:pStyle w:val="22"/>
              <w:spacing w:line="360" w:lineRule="auto"/>
              <w:jc w:val="center"/>
              <w:rPr>
                <w:rFonts w:hint="eastAsia" w:ascii="宋体" w:hAnsi="宋体" w:eastAsia="宋体"/>
                <w:sz w:val="44"/>
                <w:szCs w:val="44"/>
                <w:lang w:val="en-US" w:eastAsia="zh-CN"/>
              </w:rPr>
            </w:pPr>
            <w:r>
              <w:rPr>
                <w:rFonts w:hint="eastAsia" w:ascii="宋体" w:hAnsi="宋体" w:eastAsia="宋体"/>
                <w:sz w:val="28"/>
                <w:szCs w:val="28"/>
                <w:lang w:val="en-US" w:eastAsia="zh-CN"/>
              </w:rPr>
              <w:t>2</w:t>
            </w:r>
          </w:p>
        </w:tc>
        <w:tc>
          <w:tcPr>
            <w:tcW w:w="2579" w:type="dxa"/>
            <w:vAlign w:val="top"/>
          </w:tcPr>
          <w:p>
            <w:pPr>
              <w:pStyle w:val="22"/>
              <w:spacing w:line="360" w:lineRule="auto"/>
              <w:jc w:val="center"/>
              <w:rPr>
                <w:rFonts w:ascii="宋体" w:hAnsi="宋体" w:eastAsia="宋体"/>
                <w:sz w:val="44"/>
                <w:szCs w:val="44"/>
              </w:rPr>
            </w:pPr>
            <w:r>
              <w:rPr>
                <w:rFonts w:ascii="宋体" w:hAnsi="宋体" w:eastAsia="宋体"/>
                <w:sz w:val="28"/>
                <w:szCs w:val="28"/>
              </w:rPr>
              <w:t>V</w:t>
            </w:r>
            <w:r>
              <w:rPr>
                <w:rFonts w:hint="eastAsia" w:ascii="宋体" w:hAnsi="宋体" w:eastAsia="宋体"/>
                <w:sz w:val="28"/>
                <w:szCs w:val="28"/>
              </w:rPr>
              <w:t>1.</w:t>
            </w:r>
            <w:r>
              <w:rPr>
                <w:rFonts w:hint="eastAsia" w:ascii="宋体" w:hAnsi="宋体" w:eastAsia="宋体"/>
                <w:sz w:val="28"/>
                <w:szCs w:val="28"/>
                <w:lang w:val="en-US" w:eastAsia="zh-CN"/>
              </w:rPr>
              <w:t>1</w:t>
            </w:r>
          </w:p>
        </w:tc>
        <w:tc>
          <w:tcPr>
            <w:tcW w:w="2580" w:type="dxa"/>
            <w:vAlign w:val="top"/>
          </w:tcPr>
          <w:p>
            <w:pPr>
              <w:pStyle w:val="22"/>
              <w:spacing w:line="360" w:lineRule="auto"/>
              <w:jc w:val="center"/>
              <w:rPr>
                <w:rFonts w:hint="eastAsia" w:ascii="宋体" w:hAnsi="宋体" w:eastAsia="宋体"/>
                <w:sz w:val="44"/>
                <w:szCs w:val="44"/>
                <w:lang w:eastAsia="zh-CN"/>
              </w:rPr>
            </w:pPr>
            <w:r>
              <w:rPr>
                <w:rFonts w:hint="eastAsia" w:ascii="宋体" w:hAnsi="宋体" w:eastAsia="宋体"/>
                <w:sz w:val="28"/>
                <w:szCs w:val="28"/>
                <w:lang w:eastAsia="zh-CN"/>
              </w:rPr>
              <w:t>李超</w:t>
            </w:r>
          </w:p>
        </w:tc>
        <w:tc>
          <w:tcPr>
            <w:tcW w:w="2580" w:type="dxa"/>
            <w:vAlign w:val="top"/>
          </w:tcPr>
          <w:p>
            <w:pPr>
              <w:pStyle w:val="22"/>
              <w:spacing w:line="360" w:lineRule="auto"/>
              <w:jc w:val="center"/>
              <w:rPr>
                <w:rFonts w:ascii="宋体" w:hAnsi="宋体" w:eastAsia="宋体"/>
                <w:sz w:val="44"/>
                <w:szCs w:val="44"/>
              </w:rPr>
            </w:pPr>
            <w:r>
              <w:rPr>
                <w:rFonts w:ascii="宋体" w:hAnsi="宋体" w:eastAsia="宋体"/>
                <w:sz w:val="28"/>
                <w:szCs w:val="28"/>
              </w:rPr>
              <w:t>2017/</w:t>
            </w:r>
            <w:r>
              <w:rPr>
                <w:rFonts w:hint="eastAsia" w:ascii="宋体" w:hAnsi="宋体" w:eastAsia="宋体"/>
                <w:sz w:val="28"/>
                <w:szCs w:val="28"/>
                <w:lang w:val="en-US" w:eastAsia="zh-CN"/>
              </w:rPr>
              <w:t>12</w:t>
            </w:r>
            <w:r>
              <w:rPr>
                <w:rFonts w:ascii="宋体" w:hAnsi="宋体" w:eastAsia="宋体"/>
                <w:sz w:val="28"/>
                <w:szCs w:val="28"/>
              </w:rPr>
              <w:t>/</w:t>
            </w:r>
            <w:r>
              <w:rPr>
                <w:rFonts w:hint="eastAsia" w:ascii="宋体" w:hAnsi="宋体" w:eastAsia="宋体"/>
                <w:sz w:val="28"/>
                <w:szCs w:val="28"/>
                <w:lang w:val="en-US" w:eastAsia="zh-CN"/>
              </w:rPr>
              <w:t>11</w:t>
            </w:r>
          </w:p>
        </w:tc>
        <w:tc>
          <w:tcPr>
            <w:tcW w:w="2148" w:type="dxa"/>
            <w:vAlign w:val="top"/>
          </w:tcPr>
          <w:p>
            <w:pPr>
              <w:pStyle w:val="22"/>
              <w:spacing w:line="360" w:lineRule="auto"/>
              <w:jc w:val="center"/>
              <w:rPr>
                <w:rFonts w:ascii="宋体" w:hAnsi="宋体" w:eastAsia="宋体"/>
                <w:sz w:val="44"/>
                <w:szCs w:val="44"/>
              </w:rPr>
            </w:pPr>
            <w:r>
              <w:rPr>
                <w:rFonts w:hint="eastAsia" w:ascii="宋体" w:hAnsi="宋体" w:eastAsia="宋体"/>
                <w:sz w:val="28"/>
                <w:szCs w:val="28"/>
                <w:lang w:val="en-US" w:eastAsia="zh-CN"/>
              </w:rPr>
              <w:t>白子玉</w:t>
            </w:r>
          </w:p>
        </w:tc>
      </w:tr>
    </w:tbl>
    <w:p>
      <w:pPr>
        <w:spacing w:after="0"/>
        <w:ind w:left="14620"/>
        <w:sectPr>
          <w:type w:val="continuous"/>
          <w:pgSz w:w="19120" w:h="27080"/>
          <w:pgMar w:top="1440" w:right="1440" w:bottom="697" w:left="1440" w:header="0" w:footer="0" w:gutter="0"/>
          <w:cols w:equalWidth="0" w:num="1">
            <w:col w:w="16240"/>
          </w:cols>
        </w:sectPr>
      </w:pPr>
      <w:r>
        <w:rPr>
          <w:sz w:val="22"/>
        </w:rPr>
        <mc:AlternateContent>
          <mc:Choice Requires="wps">
            <w:drawing>
              <wp:anchor distT="0" distB="0" distL="114300" distR="114300" simplePos="0" relativeHeight="251662336" behindDoc="0" locked="0" layoutInCell="1" allowOverlap="1">
                <wp:simplePos x="0" y="0"/>
                <wp:positionH relativeFrom="column">
                  <wp:posOffset>2186305</wp:posOffset>
                </wp:positionH>
                <wp:positionV relativeFrom="paragraph">
                  <wp:posOffset>880110</wp:posOffset>
                </wp:positionV>
                <wp:extent cx="5062220" cy="529590"/>
                <wp:effectExtent l="12700" t="0" r="30480" b="29210"/>
                <wp:wrapNone/>
                <wp:docPr id="7" name="文本框 7"/>
                <wp:cNvGraphicFramePr/>
                <a:graphic xmlns:a="http://schemas.openxmlformats.org/drawingml/2006/main">
                  <a:graphicData uri="http://schemas.microsoft.com/office/word/2010/wordprocessingShape">
                    <wps:wsp>
                      <wps:cNvSpPr txBox="1"/>
                      <wps:spPr>
                        <a:xfrm>
                          <a:off x="3196590" y="12925425"/>
                          <a:ext cx="5062220" cy="5295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pStyle w:val="22"/>
                              <w:ind w:firstLine="3213" w:firstLineChars="1000"/>
                              <w:jc w:val="both"/>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中移在线</w:t>
                            </w:r>
                            <w:r>
                              <w:rPr>
                                <w:rFonts w:hint="eastAsia" w:asciiTheme="majorEastAsia" w:hAnsiTheme="majorEastAsia" w:eastAsiaTheme="majorEastAsia" w:cstheme="majorEastAsia"/>
                                <w:b/>
                                <w:spacing w:val="40"/>
                                <w:sz w:val="32"/>
                                <w:szCs w:val="32"/>
                                <w:lang w:val="en-US" w:eastAsia="zh-CN"/>
                              </w:rPr>
                              <w:t>服务</w:t>
                            </w:r>
                            <w:r>
                              <w:rPr>
                                <w:rFonts w:hint="eastAsia" w:asciiTheme="majorEastAsia" w:hAnsiTheme="majorEastAsia" w:eastAsiaTheme="majorEastAsia" w:cstheme="majorEastAsia"/>
                                <w:sz w:val="32"/>
                                <w:szCs w:val="32"/>
                              </w:rPr>
                              <w:t>有限公司</w:t>
                            </w:r>
                          </w:p>
                          <w:p>
                            <w:pPr>
                              <w:jc w:val="center"/>
                            </w:pP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72.15pt;margin-top:69.3pt;height:41.7pt;width:398.6pt;z-index:251662336;mso-width-relative:page;mso-height-relative:page;" fillcolor="#FFFFFF [3201]" filled="t" stroked="t" coordsize="21600,21600" o:gfxdata="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QT/PbAAAADAEAAA8AAAAAAAAAAQAgAAAAIgAAAGRycy9kb3ducmV2LnhtbFBL&#10;AQIUABQAAAAIAIdO4kD52bZ4ZQIAAL4EAAAOAAAAAAAAAAEAIAAAACoBAABkcnMvZTJvRG9jLnht&#10;bFBLBQYAAAAABgAGAFkBAAABBgAAAAA=&#10;">
                <v:fill on="t" focussize="0,0"/>
                <v:stroke weight="2pt" color="#FFFFFF [3212]" joinstyle="round"/>
                <v:imagedata o:title=""/>
                <o:lock v:ext="edit" aspectratio="f"/>
                <v:textbox style="mso-fit-shape-to-text:t;">
                  <w:txbxContent>
                    <w:p>
                      <w:pPr>
                        <w:pStyle w:val="22"/>
                        <w:ind w:firstLine="3213" w:firstLineChars="1000"/>
                        <w:jc w:val="both"/>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中移在线</w:t>
                      </w:r>
                      <w:r>
                        <w:rPr>
                          <w:rFonts w:hint="eastAsia" w:asciiTheme="majorEastAsia" w:hAnsiTheme="majorEastAsia" w:eastAsiaTheme="majorEastAsia" w:cstheme="majorEastAsia"/>
                          <w:b/>
                          <w:spacing w:val="40"/>
                          <w:sz w:val="32"/>
                          <w:szCs w:val="32"/>
                          <w:lang w:val="en-US" w:eastAsia="zh-CN"/>
                        </w:rPr>
                        <w:t>服务</w:t>
                      </w:r>
                      <w:r>
                        <w:rPr>
                          <w:rFonts w:hint="eastAsia" w:asciiTheme="majorEastAsia" w:hAnsiTheme="majorEastAsia" w:eastAsiaTheme="majorEastAsia" w:cstheme="majorEastAsia"/>
                          <w:sz w:val="32"/>
                          <w:szCs w:val="32"/>
                        </w:rPr>
                        <w:t>有限公司</w:t>
                      </w:r>
                    </w:p>
                    <w:p>
                      <w:pPr>
                        <w:jc w:val="cente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892810</wp:posOffset>
                </wp:positionH>
                <wp:positionV relativeFrom="paragraph">
                  <wp:posOffset>4358640</wp:posOffset>
                </wp:positionV>
                <wp:extent cx="8590280" cy="546735"/>
                <wp:effectExtent l="12700" t="0" r="26670" b="31115"/>
                <wp:wrapNone/>
                <wp:docPr id="10" name="文本框 10"/>
                <wp:cNvGraphicFramePr/>
                <a:graphic xmlns:a="http://schemas.openxmlformats.org/drawingml/2006/main">
                  <a:graphicData uri="http://schemas.microsoft.com/office/word/2010/wordprocessingShape">
                    <wps:wsp>
                      <wps:cNvSpPr txBox="1"/>
                      <wps:spPr>
                        <a:xfrm>
                          <a:off x="2843530" y="12438380"/>
                          <a:ext cx="8590280" cy="54673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pStyle w:val="11"/>
                              <w:spacing w:before="156" w:after="0" w:line="360" w:lineRule="auto"/>
                              <w:ind w:firstLine="413" w:firstLineChars="147"/>
                              <w:jc w:val="center"/>
                              <w:rPr>
                                <w:sz w:val="28"/>
                                <w:szCs w:val="28"/>
                                <w:lang w:eastAsia="zh-CN"/>
                              </w:rPr>
                            </w:pPr>
                            <w:r>
                              <w:rPr>
                                <w:rFonts w:hint="eastAsia"/>
                                <w:sz w:val="28"/>
                                <w:szCs w:val="28"/>
                                <w:lang w:eastAsia="zh-CN"/>
                              </w:rPr>
                              <w:t>文档说明：</w:t>
                            </w:r>
                            <w:r>
                              <w:rPr>
                                <w:rFonts w:hint="eastAsia" w:ascii="宋体" w:hAnsi="宋体"/>
                                <w:sz w:val="28"/>
                                <w:szCs w:val="28"/>
                                <w:lang w:eastAsia="zh-CN"/>
                              </w:rPr>
                              <w:t>本规范为中移在线服务有限公司网络设备安装规范</w:t>
                            </w:r>
                          </w:p>
                          <w:p>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3pt;margin-top:343.2pt;height:43.05pt;width:676.4pt;z-index:251663360;mso-width-relative:page;mso-height-relative:page;" fillcolor="#FFFFFF [3201]" filled="t" stroked="t" coordsize="21600,21600" o:gfxdata="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bHq6/aAAAADAEAAA8AAAAAAAAAAQAgAAAAIgAAAGRycy9kb3ducmV2LnhtbFBLAQIUABQA&#10;AAAIAIdO4kAnhcubYAIAALQEAAAOAAAAAAAAAAEAIAAAACkBAABkcnMvZTJvRG9jLnhtbFBLBQYA&#10;AAAABgAGAFkBAAD7BQAAAAA=&#10;">
                <v:fill on="t" focussize="0,0"/>
                <v:stroke weight="2pt" color="#FFFFFF [3212]" joinstyle="round"/>
                <v:imagedata o:title=""/>
                <o:lock v:ext="edit" aspectratio="f"/>
                <v:textbox>
                  <w:txbxContent>
                    <w:p>
                      <w:pPr>
                        <w:pStyle w:val="11"/>
                        <w:spacing w:before="156" w:after="0" w:line="360" w:lineRule="auto"/>
                        <w:ind w:firstLine="413" w:firstLineChars="147"/>
                        <w:jc w:val="center"/>
                        <w:rPr>
                          <w:sz w:val="28"/>
                          <w:szCs w:val="28"/>
                          <w:lang w:eastAsia="zh-CN"/>
                        </w:rPr>
                      </w:pPr>
                      <w:r>
                        <w:rPr>
                          <w:rFonts w:hint="eastAsia"/>
                          <w:sz w:val="28"/>
                          <w:szCs w:val="28"/>
                          <w:lang w:eastAsia="zh-CN"/>
                        </w:rPr>
                        <w:t>文档说明：</w:t>
                      </w:r>
                      <w:r>
                        <w:rPr>
                          <w:rFonts w:hint="eastAsia" w:ascii="宋体" w:hAnsi="宋体"/>
                          <w:sz w:val="28"/>
                          <w:szCs w:val="28"/>
                          <w:lang w:eastAsia="zh-CN"/>
                        </w:rPr>
                        <w:t>本规范为中移在线服务有限公司网络设备安装规范</w:t>
                      </w:r>
                    </w:p>
                    <w:p>
                      <w:pPr>
                        <w:rPr>
                          <w:sz w:val="44"/>
                          <w:szCs w:val="44"/>
                        </w:rPr>
                      </w:pPr>
                    </w:p>
                  </w:txbxContent>
                </v:textbox>
              </v:shape>
            </w:pict>
          </mc:Fallback>
        </mc:AlternateContent>
      </w:r>
    </w:p>
    <w:p>
      <w:pPr>
        <w:pStyle w:val="14"/>
        <w:tabs>
          <w:tab w:val="right" w:leader="dot" w:pos="15520"/>
        </w:tabs>
        <w:jc w:val="center"/>
        <w:rPr>
          <w:rFonts w:hint="eastAsia"/>
          <w:b/>
          <w:bCs/>
          <w:sz w:val="44"/>
          <w:szCs w:val="44"/>
          <w:lang w:val="en-US" w:eastAsia="zh-CN"/>
        </w:rPr>
      </w:pPr>
      <w:bookmarkStart w:id="2" w:name="page3"/>
      <w:bookmarkEnd w:id="2"/>
      <w:bookmarkStart w:id="3" w:name="_Toc6569"/>
      <w:bookmarkStart w:id="4" w:name="_Toc6565"/>
      <w:bookmarkStart w:id="5" w:name="_Toc6183"/>
      <w:bookmarkStart w:id="6" w:name="_Toc23446"/>
      <w:r>
        <w:rPr>
          <w:rFonts w:hint="eastAsia"/>
          <w:b/>
          <w:bCs/>
          <w:sz w:val="44"/>
          <w:szCs w:val="44"/>
          <w:lang w:val="en-US" w:eastAsia="zh-CN"/>
        </w:rPr>
        <w:t>目录</w:t>
      </w:r>
    </w:p>
    <w:p>
      <w:pPr>
        <w:rPr>
          <w:rFonts w:hint="eastAsia"/>
          <w:lang w:val="en-US" w:eastAsia="zh-CN"/>
        </w:rPr>
      </w:pPr>
    </w:p>
    <w:p>
      <w:pPr>
        <w:pStyle w:val="14"/>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b/>
          <w:bCs/>
          <w:sz w:val="28"/>
          <w:szCs w:val="28"/>
          <w:lang w:eastAsia="zh-CN"/>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TOC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b/>
          <w:bCs/>
          <w:sz w:val="28"/>
          <w:szCs w:val="28"/>
          <w:lang w:eastAsia="zh-CN"/>
        </w:rPr>
        <w:t>一、 概述</w:t>
      </w:r>
      <w:r>
        <w:rPr>
          <w:rFonts w:hint="eastAsia" w:asciiTheme="majorEastAsia" w:hAnsiTheme="majorEastAsia" w:eastAsiaTheme="majorEastAsia" w:cstheme="majorEastAsia"/>
          <w:b/>
          <w:bCs/>
          <w:sz w:val="28"/>
          <w:szCs w:val="28"/>
          <w:lang w:eastAsia="zh-CN"/>
        </w:rPr>
        <w:tab/>
      </w:r>
      <w:r>
        <w:rPr>
          <w:rFonts w:hint="eastAsia" w:asciiTheme="majorEastAsia" w:hAnsiTheme="majorEastAsia" w:eastAsiaTheme="majorEastAsia" w:cstheme="majorEastAsia"/>
          <w:b/>
          <w:bCs/>
          <w:sz w:val="28"/>
          <w:szCs w:val="28"/>
          <w:lang w:eastAsia="zh-CN"/>
        </w:rPr>
        <w:fldChar w:fldCharType="begin"/>
      </w:r>
      <w:r>
        <w:rPr>
          <w:rFonts w:hint="eastAsia" w:asciiTheme="majorEastAsia" w:hAnsiTheme="majorEastAsia" w:eastAsiaTheme="majorEastAsia" w:cstheme="majorEastAsia"/>
          <w:b/>
          <w:bCs/>
          <w:sz w:val="28"/>
          <w:szCs w:val="28"/>
          <w:lang w:eastAsia="zh-CN"/>
        </w:rPr>
        <w:instrText xml:space="preserve"> PAGEREF _Toc17622 </w:instrText>
      </w:r>
      <w:r>
        <w:rPr>
          <w:rFonts w:hint="eastAsia" w:asciiTheme="majorEastAsia" w:hAnsiTheme="majorEastAsia" w:eastAsiaTheme="majorEastAsia" w:cstheme="majorEastAsia"/>
          <w:b/>
          <w:bCs/>
          <w:sz w:val="28"/>
          <w:szCs w:val="28"/>
          <w:lang w:eastAsia="zh-CN"/>
        </w:rPr>
        <w:fldChar w:fldCharType="separate"/>
      </w:r>
      <w:r>
        <w:rPr>
          <w:rFonts w:hint="eastAsia" w:asciiTheme="majorEastAsia" w:hAnsiTheme="majorEastAsia" w:eastAsiaTheme="majorEastAsia" w:cstheme="majorEastAsia"/>
          <w:b/>
          <w:bCs/>
          <w:sz w:val="28"/>
          <w:szCs w:val="28"/>
          <w:lang w:eastAsia="zh-CN"/>
        </w:rPr>
        <w:t>3</w:t>
      </w:r>
      <w:r>
        <w:rPr>
          <w:rFonts w:hint="eastAsia" w:asciiTheme="majorEastAsia" w:hAnsiTheme="majorEastAsia" w:eastAsiaTheme="majorEastAsia" w:cstheme="majorEastAsia"/>
          <w:b/>
          <w:bCs/>
          <w:sz w:val="28"/>
          <w:szCs w:val="28"/>
          <w:lang w:eastAsia="zh-CN"/>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1.1总体概述</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_Toc22667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p>
    <w:p>
      <w:pPr>
        <w:pStyle w:val="14"/>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eastAsia="zh-CN"/>
        </w:rPr>
        <w:t>二、 设备到货验货规范</w:t>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PAGEREF _Toc21794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3</w:t>
      </w:r>
      <w:r>
        <w:rPr>
          <w:rFonts w:hint="eastAsia" w:asciiTheme="majorEastAsia" w:hAnsiTheme="majorEastAsia" w:eastAsiaTheme="majorEastAsia" w:cstheme="majorEastAsia"/>
          <w:b/>
          <w:bCs/>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2.1到货规范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_Toc20201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2.2验货规范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_Toc3801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bookmarkStart w:id="217" w:name="_GoBack"/>
      <w:bookmarkEnd w:id="217"/>
    </w:p>
    <w:p>
      <w:pPr>
        <w:pStyle w:val="14"/>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eastAsia="zh-CN"/>
        </w:rPr>
        <w:t>三、 网络机柜安装规范</w:t>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PAGEREF _Toc4970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3</w:t>
      </w:r>
      <w:r>
        <w:rPr>
          <w:rFonts w:hint="eastAsia" w:asciiTheme="majorEastAsia" w:hAnsiTheme="majorEastAsia" w:eastAsiaTheme="majorEastAsia" w:cstheme="majorEastAsia"/>
          <w:b/>
          <w:bCs/>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3.1机柜的安装规范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_Toc5129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p>
    <w:p>
      <w:pPr>
        <w:pStyle w:val="14"/>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 xml:space="preserve">四、 </w:t>
      </w:r>
      <w:r>
        <w:rPr>
          <w:rFonts w:hint="eastAsia" w:asciiTheme="majorEastAsia" w:hAnsiTheme="majorEastAsia" w:eastAsiaTheme="majorEastAsia" w:cstheme="majorEastAsia"/>
          <w:b/>
          <w:bCs/>
          <w:sz w:val="28"/>
          <w:szCs w:val="28"/>
          <w:lang w:eastAsia="zh-CN"/>
        </w:rPr>
        <w:t>网络设备安装规范</w:t>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PAGEREF _Toc5356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3</w:t>
      </w:r>
      <w:r>
        <w:rPr>
          <w:rFonts w:hint="eastAsia" w:asciiTheme="majorEastAsia" w:hAnsiTheme="majorEastAsia" w:eastAsiaTheme="majorEastAsia" w:cstheme="majorEastAsia"/>
          <w:b/>
          <w:bCs/>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4.1 机房货物存放规范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_Toc16624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4.2设备安装规范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_Toc19467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p>
    <w:p>
      <w:pPr>
        <w:pStyle w:val="14"/>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eastAsia="zh-CN"/>
        </w:rPr>
        <w:t>五、 线缆的布放规范</w:t>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PAGEREF _Toc27568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4</w:t>
      </w:r>
      <w:r>
        <w:rPr>
          <w:rFonts w:hint="eastAsia" w:asciiTheme="majorEastAsia" w:hAnsiTheme="majorEastAsia" w:eastAsiaTheme="majorEastAsia" w:cstheme="majorEastAsia"/>
          <w:b/>
          <w:bCs/>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5.1光纤布放规范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_Toc16018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5.2电缆布放规范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_Toc4715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p>
    <w:p>
      <w:pPr>
        <w:pStyle w:val="14"/>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六、 标签制作粘贴规范</w:t>
      </w:r>
      <w:r>
        <w:rPr>
          <w:rFonts w:hint="eastAsia" w:asciiTheme="majorEastAsia" w:hAnsiTheme="majorEastAsia" w:eastAsiaTheme="majorEastAsia" w:cstheme="majorEastAsia"/>
          <w:b/>
          <w:bCs/>
          <w:sz w:val="28"/>
          <w:szCs w:val="28"/>
        </w:rPr>
        <w:tab/>
      </w:r>
      <w:r>
        <w:rPr>
          <w:rFonts w:hint="eastAsia" w:asciiTheme="majorEastAsia" w:hAnsiTheme="majorEastAsia" w:eastAsiaTheme="majorEastAsia" w:cstheme="majorEastAsia"/>
          <w:b/>
          <w:bCs/>
          <w:sz w:val="28"/>
          <w:szCs w:val="28"/>
        </w:rPr>
        <w:fldChar w:fldCharType="begin"/>
      </w:r>
      <w:r>
        <w:rPr>
          <w:rFonts w:hint="eastAsia" w:asciiTheme="majorEastAsia" w:hAnsiTheme="majorEastAsia" w:eastAsiaTheme="majorEastAsia" w:cstheme="majorEastAsia"/>
          <w:b/>
          <w:bCs/>
          <w:sz w:val="28"/>
          <w:szCs w:val="28"/>
        </w:rPr>
        <w:instrText xml:space="preserve"> PAGEREF _Toc19343 </w:instrText>
      </w:r>
      <w:r>
        <w:rPr>
          <w:rFonts w:hint="eastAsia" w:asciiTheme="majorEastAsia" w:hAnsiTheme="majorEastAsia" w:eastAsiaTheme="majorEastAsia" w:cstheme="majorEastAsia"/>
          <w:b/>
          <w:bCs/>
          <w:sz w:val="28"/>
          <w:szCs w:val="28"/>
        </w:rPr>
        <w:fldChar w:fldCharType="separate"/>
      </w:r>
      <w:r>
        <w:rPr>
          <w:rFonts w:hint="eastAsia" w:asciiTheme="majorEastAsia" w:hAnsiTheme="majorEastAsia" w:eastAsiaTheme="majorEastAsia" w:cstheme="majorEastAsia"/>
          <w:b/>
          <w:bCs/>
          <w:sz w:val="28"/>
          <w:szCs w:val="28"/>
        </w:rPr>
        <w:t>5</w:t>
      </w:r>
      <w:r>
        <w:rPr>
          <w:rFonts w:hint="eastAsia" w:asciiTheme="majorEastAsia" w:hAnsiTheme="majorEastAsia" w:eastAsiaTheme="majorEastAsia" w:cstheme="majorEastAsia"/>
          <w:b/>
          <w:bCs/>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6.1设备互联标签制作规范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_Toc29579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5</w:t>
      </w:r>
      <w:r>
        <w:rPr>
          <w:rFonts w:hint="eastAsia" w:asciiTheme="majorEastAsia" w:hAnsiTheme="majorEastAsia" w:eastAsiaTheme="majorEastAsia" w:cstheme="majorEastAsia"/>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6.2 设备标准制作规范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_Toc27920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5</w:t>
      </w:r>
      <w:r>
        <w:rPr>
          <w:rFonts w:hint="eastAsia" w:asciiTheme="majorEastAsia" w:hAnsiTheme="majorEastAsia" w:eastAsiaTheme="majorEastAsia" w:cstheme="majorEastAsia"/>
          <w:sz w:val="28"/>
          <w:szCs w:val="28"/>
        </w:rPr>
        <w:fldChar w:fldCharType="end"/>
      </w:r>
    </w:p>
    <w:p>
      <w:pPr>
        <w:pStyle w:val="15"/>
        <w:keepLines w:val="0"/>
        <w:widowControl/>
        <w:tabs>
          <w:tab w:val="right" w:leader="dot" w:pos="15520"/>
        </w:tabs>
        <w:kinsoku/>
        <w:wordWrap/>
        <w:overflowPunct/>
        <w:topLinePunct w:val="0"/>
        <w:autoSpaceDE/>
        <w:autoSpaceDN/>
        <w:bidi w:val="0"/>
        <w:adjustRightInd/>
        <w:snapToGrid/>
        <w:spacing w:line="360" w:lineRule="auto"/>
        <w:ind w:right="0" w:rightChars="0" w:firstLine="0" w:firstLineChars="0"/>
        <w:jc w:val="left"/>
        <w:textAlignment w:val="auto"/>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6.3 标签粘贴以及其它规范</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_Toc10500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5</w:t>
      </w:r>
      <w:r>
        <w:rPr>
          <w:rFonts w:hint="eastAsia" w:asciiTheme="majorEastAsia" w:hAnsiTheme="majorEastAsia" w:eastAsiaTheme="majorEastAsia" w:cstheme="majorEastAsia"/>
          <w:sz w:val="28"/>
          <w:szCs w:val="28"/>
        </w:rPr>
        <w:fldChar w:fldCharType="end"/>
      </w:r>
    </w:p>
    <w:p>
      <w:pPr>
        <w:keepNext/>
        <w:keepLines w:val="0"/>
        <w:pageBreakBefore/>
        <w:widowControl/>
        <w:numPr>
          <w:ilvl w:val="0"/>
          <w:numId w:val="0"/>
        </w:numPr>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pPr>
      <w:r>
        <w:rPr>
          <w:rFonts w:hint="eastAsia" w:asciiTheme="majorEastAsia" w:hAnsiTheme="majorEastAsia" w:eastAsiaTheme="majorEastAsia" w:cstheme="majorEastAsia"/>
          <w:sz w:val="28"/>
          <w:szCs w:val="28"/>
        </w:rPr>
        <w:fldChar w:fldCharType="end"/>
      </w:r>
    </w:p>
    <w:p>
      <w:pPr>
        <w:pStyle w:val="2"/>
        <w:keepNext/>
        <w:keepLines/>
        <w:pageBreakBefore w:val="0"/>
        <w:widowControl/>
        <w:kinsoku/>
        <w:wordWrap/>
        <w:overflowPunct/>
        <w:topLinePunct w:val="0"/>
        <w:autoSpaceDE/>
        <w:autoSpaceDN/>
        <w:bidi w:val="0"/>
        <w:adjustRightInd/>
        <w:snapToGrid/>
        <w:spacing w:before="340" w:beforeLines="0" w:after="330" w:afterLines="0" w:line="360" w:lineRule="auto"/>
        <w:ind w:left="0" w:leftChars="0" w:right="0" w:rightChars="0" w:firstLine="0" w:firstLineChars="0"/>
        <w:jc w:val="left"/>
        <w:textAlignment w:val="auto"/>
        <w:outlineLvl w:val="0"/>
      </w:pPr>
      <w:bookmarkStart w:id="7" w:name="_Toc17391"/>
      <w:bookmarkStart w:id="8" w:name="_Toc26556"/>
      <w:bookmarkStart w:id="9" w:name="_Toc17622"/>
      <w:bookmarkStart w:id="10" w:name="_Toc11814"/>
      <w:r>
        <w:rPr>
          <w:rFonts w:hint="eastAsia"/>
          <w:lang w:eastAsia="zh-CN"/>
        </w:rPr>
        <w:t>概述</w:t>
      </w:r>
      <w:bookmarkEnd w:id="3"/>
      <w:bookmarkEnd w:id="4"/>
      <w:bookmarkEnd w:id="5"/>
      <w:bookmarkEnd w:id="6"/>
      <w:bookmarkEnd w:id="7"/>
      <w:bookmarkEnd w:id="8"/>
      <w:bookmarkEnd w:id="9"/>
      <w:bookmarkEnd w:id="10"/>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lang w:val="en-US" w:eastAsia="zh-CN"/>
        </w:rPr>
      </w:pPr>
      <w:bookmarkStart w:id="11" w:name="_Toc23763"/>
      <w:bookmarkStart w:id="12" w:name="_Toc20939"/>
      <w:bookmarkStart w:id="13" w:name="_Toc17343"/>
      <w:bookmarkStart w:id="14" w:name="_Toc22667"/>
      <w:bookmarkStart w:id="15" w:name="_Toc31671"/>
      <w:bookmarkStart w:id="16" w:name="_Toc1952"/>
      <w:bookmarkStart w:id="17" w:name="_Toc10002"/>
      <w:bookmarkStart w:id="18" w:name="_Toc24536"/>
      <w:bookmarkStart w:id="19" w:name="_Toc21692"/>
      <w:r>
        <w:rPr>
          <w:rFonts w:hint="eastAsia"/>
          <w:lang w:val="en-US" w:eastAsia="zh-CN"/>
        </w:rPr>
        <w:t>1.1总体概述</w:t>
      </w:r>
      <w:bookmarkEnd w:id="11"/>
      <w:bookmarkEnd w:id="12"/>
      <w:bookmarkEnd w:id="13"/>
      <w:bookmarkEnd w:id="14"/>
      <w:bookmarkEnd w:id="15"/>
      <w:bookmarkEnd w:id="16"/>
      <w:bookmarkEnd w:id="17"/>
      <w:bookmarkEnd w:id="18"/>
      <w:bookmarkEnd w:id="19"/>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ascii="宋体" w:hAnsi="宋体" w:eastAsia="宋体" w:cs="宋体"/>
          <w:color w:val="auto"/>
          <w:sz w:val="24"/>
          <w:szCs w:val="24"/>
        </w:rPr>
      </w:pPr>
      <w:r>
        <w:rPr>
          <w:rFonts w:ascii="宋体" w:hAnsi="宋体" w:eastAsia="宋体" w:cs="宋体"/>
          <w:color w:val="auto"/>
          <w:sz w:val="24"/>
          <w:szCs w:val="24"/>
        </w:rPr>
        <w:t>本规范是</w:t>
      </w:r>
      <w:r>
        <w:rPr>
          <w:rFonts w:hint="eastAsia" w:ascii="宋体" w:hAnsi="宋体" w:eastAsia="宋体" w:cs="宋体"/>
          <w:color w:val="auto"/>
          <w:sz w:val="24"/>
          <w:szCs w:val="24"/>
          <w:lang w:eastAsia="zh-CN"/>
        </w:rPr>
        <w:t>中移在线网络</w:t>
      </w:r>
      <w:r>
        <w:rPr>
          <w:rFonts w:ascii="宋体" w:hAnsi="宋体" w:eastAsia="宋体" w:cs="宋体"/>
          <w:color w:val="auto"/>
          <w:sz w:val="24"/>
          <w:szCs w:val="24"/>
        </w:rPr>
        <w:t>设备工程硬件施工及工程巡检的依据</w:t>
      </w:r>
      <w:r>
        <w:rPr>
          <w:rFonts w:hint="eastAsia" w:ascii="宋体" w:hAnsi="宋体" w:eastAsia="宋体" w:cs="宋体"/>
          <w:color w:val="auto"/>
          <w:sz w:val="24"/>
          <w:szCs w:val="24"/>
          <w:lang w:eastAsia="zh-CN"/>
        </w:rPr>
        <w:t>，</w:t>
      </w:r>
      <w:r>
        <w:rPr>
          <w:rFonts w:ascii="宋体" w:hAnsi="宋体" w:eastAsia="宋体" w:cs="宋体"/>
          <w:color w:val="auto"/>
          <w:sz w:val="24"/>
          <w:szCs w:val="24"/>
        </w:rPr>
        <w:t>适用于数据网的新建、扩容及搬迁工程。</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ascii="宋体" w:hAnsi="宋体" w:eastAsia="宋体" w:cs="宋体"/>
          <w:color w:val="auto"/>
          <w:sz w:val="24"/>
          <w:szCs w:val="24"/>
        </w:rPr>
      </w:pPr>
      <w:r>
        <w:rPr>
          <w:rFonts w:ascii="宋体" w:hAnsi="宋体" w:eastAsia="宋体" w:cs="宋体"/>
          <w:color w:val="auto"/>
          <w:sz w:val="24"/>
          <w:szCs w:val="24"/>
        </w:rPr>
        <w:t>本规范未包括的内容和指标要求</w:t>
      </w:r>
      <w:r>
        <w:rPr>
          <w:rFonts w:hint="eastAsia" w:ascii="宋体" w:hAnsi="宋体" w:eastAsia="宋体" w:cs="宋体"/>
          <w:color w:val="auto"/>
          <w:sz w:val="24"/>
          <w:szCs w:val="24"/>
          <w:lang w:eastAsia="zh-CN"/>
        </w:rPr>
        <w:t>，</w:t>
      </w:r>
      <w:r>
        <w:rPr>
          <w:rFonts w:ascii="宋体" w:hAnsi="宋体" w:eastAsia="宋体" w:cs="宋体"/>
          <w:color w:val="auto"/>
          <w:sz w:val="24"/>
          <w:szCs w:val="24"/>
        </w:rPr>
        <w:t>应按国家有关规定、工程合同、设计文件等要求执行。当本规范与国家标准及规范有矛盾时，应以国家标准和规范为准。</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ascii="宋体" w:hAnsi="宋体" w:eastAsia="宋体" w:cs="宋体"/>
          <w:color w:val="auto"/>
          <w:sz w:val="24"/>
          <w:szCs w:val="24"/>
        </w:rPr>
      </w:pPr>
      <w:r>
        <w:rPr>
          <w:rFonts w:ascii="宋体" w:hAnsi="宋体" w:eastAsia="宋体" w:cs="宋体"/>
          <w:color w:val="auto"/>
          <w:sz w:val="24"/>
          <w:szCs w:val="24"/>
        </w:rPr>
        <w:t>在施工过程中，施工单位应严格执行各项施工质量检查的规定</w:t>
      </w:r>
      <w:r>
        <w:rPr>
          <w:rFonts w:hint="eastAsia" w:ascii="宋体" w:hAnsi="宋体" w:eastAsia="宋体" w:cs="宋体"/>
          <w:color w:val="auto"/>
          <w:sz w:val="24"/>
          <w:szCs w:val="24"/>
          <w:lang w:eastAsia="zh-CN"/>
        </w:rPr>
        <w:t>，</w:t>
      </w:r>
      <w:r>
        <w:rPr>
          <w:rFonts w:ascii="宋体" w:hAnsi="宋体" w:eastAsia="宋体" w:cs="宋体"/>
          <w:color w:val="auto"/>
          <w:sz w:val="24"/>
          <w:szCs w:val="24"/>
        </w:rPr>
        <w:t>建设单位应严格进行随工检验工作。</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ascii="宋体" w:hAnsi="宋体" w:eastAsia="宋体" w:cs="宋体"/>
          <w:color w:val="auto"/>
          <w:sz w:val="24"/>
          <w:szCs w:val="24"/>
        </w:rPr>
      </w:pPr>
      <w:r>
        <w:rPr>
          <w:rFonts w:ascii="宋体" w:hAnsi="宋体" w:eastAsia="宋体" w:cs="宋体"/>
          <w:color w:val="auto"/>
          <w:sz w:val="24"/>
          <w:szCs w:val="24"/>
        </w:rPr>
        <w:t>在特殊情况下</w:t>
      </w:r>
      <w:r>
        <w:rPr>
          <w:rFonts w:hint="eastAsia" w:ascii="宋体" w:hAnsi="宋体" w:eastAsia="宋体" w:cs="宋体"/>
          <w:color w:val="auto"/>
          <w:sz w:val="24"/>
          <w:szCs w:val="24"/>
          <w:lang w:eastAsia="zh-CN"/>
        </w:rPr>
        <w:t>，</w:t>
      </w:r>
      <w:r>
        <w:rPr>
          <w:rFonts w:ascii="宋体" w:hAnsi="宋体" w:eastAsia="宋体" w:cs="宋体"/>
          <w:color w:val="auto"/>
          <w:sz w:val="24"/>
          <w:szCs w:val="24"/>
        </w:rPr>
        <w:t>执行本规范有困难时，建设单位应充分论述理由，并提供报告呈上级主管部门审批。</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由于移动数据网络设备工程具有技术新、涉及面广、发展快的特点，本规范应根据国家有关规定和工程施工的具体情况不断补充、完善。</w:t>
      </w:r>
      <w:bookmarkStart w:id="20" w:name="page4"/>
      <w:bookmarkEnd w:id="20"/>
    </w:p>
    <w:p>
      <w:pPr>
        <w:pStyle w:val="2"/>
        <w:keepNext/>
        <w:keepLines/>
        <w:pageBreakBefore w:val="0"/>
        <w:widowControl/>
        <w:kinsoku/>
        <w:wordWrap/>
        <w:overflowPunct/>
        <w:topLinePunct w:val="0"/>
        <w:autoSpaceDE/>
        <w:autoSpaceDN/>
        <w:bidi w:val="0"/>
        <w:adjustRightInd/>
        <w:snapToGrid/>
        <w:spacing w:before="340" w:beforeLines="0" w:after="330" w:afterLines="0" w:line="360" w:lineRule="auto"/>
        <w:ind w:left="0" w:leftChars="0" w:right="0" w:rightChars="0" w:firstLine="0" w:firstLineChars="0"/>
        <w:jc w:val="left"/>
        <w:textAlignment w:val="auto"/>
        <w:outlineLvl w:val="0"/>
        <w:rPr>
          <w:rFonts w:hint="eastAsia"/>
          <w:szCs w:val="22"/>
          <w:lang w:eastAsia="zh-CN"/>
        </w:rPr>
      </w:pPr>
      <w:bookmarkStart w:id="21" w:name="_Toc10309"/>
      <w:bookmarkStart w:id="22" w:name="_Toc29806"/>
      <w:bookmarkStart w:id="23" w:name="_Toc23580"/>
      <w:bookmarkStart w:id="24" w:name="_Toc1732"/>
      <w:bookmarkStart w:id="25" w:name="_Toc7552"/>
      <w:bookmarkStart w:id="26" w:name="_Toc21794"/>
      <w:bookmarkStart w:id="27" w:name="_Toc10821"/>
      <w:bookmarkStart w:id="28" w:name="_Toc25826"/>
      <w:r>
        <w:rPr>
          <w:rFonts w:hint="eastAsia"/>
          <w:szCs w:val="22"/>
          <w:lang w:eastAsia="zh-CN"/>
        </w:rPr>
        <w:t>设备到货验货规范</w:t>
      </w:r>
      <w:bookmarkEnd w:id="21"/>
      <w:bookmarkEnd w:id="22"/>
      <w:bookmarkEnd w:id="23"/>
      <w:bookmarkEnd w:id="24"/>
      <w:bookmarkEnd w:id="25"/>
      <w:bookmarkEnd w:id="26"/>
      <w:bookmarkEnd w:id="27"/>
      <w:bookmarkEnd w:id="28"/>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Chars="0" w:right="0" w:rightChars="0"/>
        <w:jc w:val="left"/>
        <w:textAlignment w:val="auto"/>
        <w:outlineLvl w:val="1"/>
        <w:rPr>
          <w:rFonts w:hint="eastAsia"/>
          <w:szCs w:val="22"/>
          <w:lang w:val="en-US" w:eastAsia="zh-CN"/>
        </w:rPr>
      </w:pPr>
      <w:bookmarkStart w:id="29" w:name="_Toc19679"/>
      <w:bookmarkStart w:id="30" w:name="_Toc9872"/>
      <w:bookmarkStart w:id="31" w:name="_Toc23550"/>
      <w:bookmarkStart w:id="32" w:name="_Toc19863"/>
      <w:bookmarkStart w:id="33" w:name="_Toc1512"/>
      <w:bookmarkStart w:id="34" w:name="_Toc20201"/>
      <w:bookmarkStart w:id="35" w:name="_Toc12644"/>
      <w:bookmarkStart w:id="36" w:name="_Toc9415"/>
      <w:bookmarkStart w:id="37" w:name="_Toc16482"/>
      <w:bookmarkStart w:id="38" w:name="OLE_LINK1"/>
      <w:r>
        <w:rPr>
          <w:rFonts w:hint="eastAsia"/>
          <w:szCs w:val="22"/>
          <w:lang w:val="en-US" w:eastAsia="zh-CN"/>
        </w:rPr>
        <w:t>2.1到货</w:t>
      </w:r>
      <w:bookmarkEnd w:id="29"/>
      <w:r>
        <w:rPr>
          <w:rFonts w:hint="eastAsia"/>
          <w:szCs w:val="22"/>
          <w:lang w:val="en-US" w:eastAsia="zh-CN"/>
        </w:rPr>
        <w:t>规范</w:t>
      </w:r>
      <w:bookmarkEnd w:id="30"/>
      <w:bookmarkEnd w:id="31"/>
      <w:bookmarkEnd w:id="32"/>
      <w:bookmarkEnd w:id="33"/>
      <w:bookmarkEnd w:id="34"/>
      <w:bookmarkEnd w:id="35"/>
      <w:bookmarkEnd w:id="36"/>
      <w:bookmarkEnd w:id="37"/>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首先拿到验货清单，逐个按照清单表上的编号去跟设备箱子上的编号做对比确认是否跟表单一致。</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如有到货签收时发现货物本体和（或）外包装出现变形和（或）破损、货物数量与验货单不符的情况及时通知相关人员，问题没有解决前不予签收。</w:t>
      </w:r>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szCs w:val="22"/>
          <w:lang w:val="en-US" w:eastAsia="zh-CN"/>
        </w:rPr>
      </w:pPr>
      <w:bookmarkStart w:id="39" w:name="_Toc5520"/>
      <w:bookmarkStart w:id="40" w:name="_Toc14228"/>
      <w:bookmarkStart w:id="41" w:name="_Toc17176"/>
      <w:bookmarkStart w:id="42" w:name="_Toc18576"/>
      <w:bookmarkStart w:id="43" w:name="_Toc15776"/>
      <w:bookmarkStart w:id="44" w:name="_Toc413"/>
      <w:bookmarkStart w:id="45" w:name="_Toc12355"/>
      <w:bookmarkStart w:id="46" w:name="_Toc3801"/>
      <w:r>
        <w:rPr>
          <w:rFonts w:hint="eastAsia"/>
          <w:szCs w:val="22"/>
          <w:lang w:val="en-US" w:eastAsia="zh-CN"/>
        </w:rPr>
        <w:t>2.2验货规范</w:t>
      </w:r>
      <w:bookmarkEnd w:id="39"/>
      <w:bookmarkEnd w:id="40"/>
      <w:bookmarkEnd w:id="41"/>
      <w:bookmarkEnd w:id="42"/>
      <w:bookmarkEnd w:id="43"/>
      <w:bookmarkEnd w:id="44"/>
      <w:bookmarkEnd w:id="45"/>
      <w:bookmarkEnd w:id="46"/>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开箱验货时必须有在线自有人员和厂家人员同时在场。</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根据拿到验货清单表，逐个按照清单表上的清单先进行大件货物数目核对，核对准确后进行下一步。</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逐个打开每个货箱清点货物数量与装箱单数量进行核对，发现不符的情况及时拍照并让厂家进行处理。</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开箱验货时发现的货物本体损坏立即停止验货，并让厂家确认是否进行继续验货。</w:t>
      </w:r>
      <w:bookmarkEnd w:id="38"/>
    </w:p>
    <w:p>
      <w:pPr>
        <w:pStyle w:val="2"/>
        <w:keepNext/>
        <w:keepLines/>
        <w:pageBreakBefore w:val="0"/>
        <w:widowControl/>
        <w:kinsoku/>
        <w:wordWrap/>
        <w:overflowPunct/>
        <w:topLinePunct w:val="0"/>
        <w:autoSpaceDE/>
        <w:autoSpaceDN/>
        <w:bidi w:val="0"/>
        <w:adjustRightInd/>
        <w:snapToGrid/>
        <w:spacing w:before="340" w:beforeLines="0" w:after="330" w:afterLines="0" w:line="360" w:lineRule="auto"/>
        <w:ind w:left="0" w:leftChars="0" w:right="0" w:rightChars="0" w:firstLine="0" w:firstLineChars="0"/>
        <w:jc w:val="left"/>
        <w:textAlignment w:val="auto"/>
        <w:outlineLvl w:val="0"/>
        <w:rPr>
          <w:rFonts w:hint="eastAsia"/>
          <w:szCs w:val="22"/>
          <w:lang w:eastAsia="zh-CN"/>
        </w:rPr>
      </w:pPr>
      <w:bookmarkStart w:id="47" w:name="page7"/>
      <w:bookmarkEnd w:id="47"/>
      <w:bookmarkStart w:id="48" w:name="_Toc12237"/>
      <w:bookmarkStart w:id="49" w:name="_Toc19469"/>
      <w:bookmarkStart w:id="50" w:name="_Toc18132"/>
      <w:bookmarkStart w:id="51" w:name="_Toc30359"/>
      <w:bookmarkStart w:id="52" w:name="_Toc3003"/>
      <w:bookmarkStart w:id="53" w:name="_Toc20686"/>
      <w:bookmarkStart w:id="54" w:name="_Toc14724"/>
      <w:bookmarkStart w:id="55" w:name="_Toc29061"/>
      <w:bookmarkStart w:id="56" w:name="_Toc580"/>
      <w:bookmarkStart w:id="57" w:name="_Toc18189"/>
      <w:bookmarkStart w:id="58" w:name="_Toc6723"/>
      <w:bookmarkStart w:id="59" w:name="_Toc14789"/>
      <w:bookmarkStart w:id="60" w:name="_Toc12582"/>
      <w:bookmarkStart w:id="61" w:name="_Toc12603"/>
      <w:bookmarkStart w:id="62" w:name="_Toc9528"/>
      <w:bookmarkStart w:id="63" w:name="_Toc14685"/>
      <w:bookmarkStart w:id="64" w:name="_Toc329"/>
      <w:bookmarkStart w:id="65" w:name="_Toc15629"/>
      <w:bookmarkStart w:id="66" w:name="_Toc16576"/>
      <w:bookmarkStart w:id="67" w:name="_Toc54"/>
      <w:bookmarkStart w:id="68" w:name="_Toc3166"/>
      <w:bookmarkStart w:id="69" w:name="_Toc7626"/>
      <w:bookmarkStart w:id="70" w:name="_Toc4970"/>
      <w:r>
        <w:rPr>
          <w:rFonts w:hint="eastAsia"/>
          <w:szCs w:val="22"/>
          <w:lang w:eastAsia="zh-CN"/>
        </w:rPr>
        <w:t>网络机柜安装</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Pr>
          <w:rFonts w:hint="eastAsia"/>
          <w:szCs w:val="22"/>
          <w:lang w:eastAsia="zh-CN"/>
        </w:rPr>
        <w:t>规范</w:t>
      </w:r>
      <w:bookmarkEnd w:id="63"/>
      <w:bookmarkEnd w:id="64"/>
      <w:bookmarkEnd w:id="65"/>
      <w:bookmarkEnd w:id="66"/>
      <w:bookmarkEnd w:id="67"/>
      <w:bookmarkEnd w:id="68"/>
      <w:bookmarkEnd w:id="69"/>
      <w:bookmarkEnd w:id="70"/>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szCs w:val="22"/>
          <w:lang w:val="en-US" w:eastAsia="zh-CN"/>
        </w:rPr>
      </w:pPr>
      <w:bookmarkStart w:id="71" w:name="_Toc787"/>
      <w:bookmarkStart w:id="72" w:name="_Toc26165"/>
      <w:bookmarkStart w:id="73" w:name="_Toc21133"/>
      <w:bookmarkStart w:id="74" w:name="_Toc4872"/>
      <w:bookmarkStart w:id="75" w:name="_Toc16798"/>
      <w:bookmarkStart w:id="76" w:name="_Toc12464"/>
      <w:bookmarkStart w:id="77" w:name="_Toc23692"/>
      <w:bookmarkStart w:id="78" w:name="_Toc9119"/>
      <w:bookmarkStart w:id="79" w:name="_Toc5129"/>
      <w:r>
        <w:rPr>
          <w:rFonts w:hint="eastAsia"/>
          <w:szCs w:val="22"/>
          <w:lang w:val="en-US" w:eastAsia="zh-CN"/>
        </w:rPr>
        <w:t>3.1机柜的安装规范</w:t>
      </w:r>
      <w:bookmarkEnd w:id="71"/>
      <w:bookmarkEnd w:id="72"/>
      <w:bookmarkEnd w:id="73"/>
      <w:bookmarkEnd w:id="74"/>
      <w:bookmarkEnd w:id="75"/>
      <w:bookmarkEnd w:id="76"/>
      <w:bookmarkEnd w:id="77"/>
      <w:bookmarkEnd w:id="78"/>
      <w:bookmarkEnd w:id="79"/>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机房内属于同一系统的设备应尽量安排在一列，同时考虑工程远期发展需要适当预留设备扩容位置；属于不同系统的设备之间应有一定的分割。</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设备每列宜设置有电源头柜，设在每列靠近主走道的第一个机架位置，交、直流电源分配柜应分开设置。</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每列机架的高度、厚度尽量统一。</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机房内机架 ( 机柜 ) 的平面位置、机面朝向、机架相互距离应符合工程设计要求。</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安装所有机柜机面朝向必须保持一致，要求机架位置前对齐。</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安装机柜时，要保证主通道的宽度大于或等于1.5M, 列间距为 1M，特殊情况必须大于 80CM，以便设备的进出。</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机架安装后各直列上、下两端垂直倾斜误差应不大于3mm。</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列间距离误差应不大于5mm，各列列间左右两侧在一条直线上误差不大5mm，主走道侧必须对齐成直线。</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机架的地脚安装必须拧紧到地，无松动。地脚上的锁定螺母必须拧紧。</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机柜上各种零件不得脱落或碰坏，漆面如有脱落应予补上与原颜色相同的油漆。</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机柜内外必须保持清洁，无杂物和任何的金属丝。</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color w:val="auto"/>
          <w:sz w:val="24"/>
          <w:szCs w:val="24"/>
        </w:rPr>
      </w:pPr>
      <w:r>
        <w:rPr>
          <w:rFonts w:hint="eastAsia" w:ascii="宋体" w:hAnsi="宋体" w:eastAsia="宋体" w:cs="宋体"/>
          <w:color w:val="auto"/>
          <w:sz w:val="24"/>
          <w:szCs w:val="24"/>
          <w:lang w:eastAsia="zh-CN"/>
        </w:rPr>
        <w:t>每个网络机柜必须单独接保护地线，不能串接，其截面积不能小于交流线的截面积。</w:t>
      </w:r>
    </w:p>
    <w:p>
      <w:pPr>
        <w:pStyle w:val="2"/>
        <w:keepNext/>
        <w:keepLines/>
        <w:pageBreakBefore w:val="0"/>
        <w:widowControl/>
        <w:kinsoku/>
        <w:wordWrap/>
        <w:overflowPunct/>
        <w:topLinePunct w:val="0"/>
        <w:autoSpaceDE/>
        <w:autoSpaceDN/>
        <w:bidi w:val="0"/>
        <w:adjustRightInd/>
        <w:snapToGrid/>
        <w:spacing w:before="340" w:beforeLines="0" w:after="330" w:afterLines="0" w:line="360" w:lineRule="auto"/>
        <w:ind w:left="0" w:leftChars="0" w:right="0" w:rightChars="0" w:firstLine="0" w:firstLineChars="0"/>
        <w:jc w:val="left"/>
        <w:textAlignment w:val="auto"/>
        <w:outlineLvl w:val="0"/>
        <w:rPr>
          <w:rFonts w:hint="eastAsia"/>
          <w:szCs w:val="22"/>
          <w:lang w:val="en-US" w:eastAsia="zh-CN"/>
        </w:rPr>
      </w:pPr>
      <w:bookmarkStart w:id="80" w:name="page8"/>
      <w:bookmarkEnd w:id="80"/>
      <w:bookmarkStart w:id="81" w:name="_Toc23577"/>
      <w:bookmarkStart w:id="82" w:name="_Toc22809"/>
      <w:bookmarkStart w:id="83" w:name="_Toc17267"/>
      <w:bookmarkStart w:id="84" w:name="_Toc28844"/>
      <w:bookmarkStart w:id="85" w:name="_Toc13305"/>
      <w:bookmarkStart w:id="86" w:name="_Toc30933"/>
      <w:bookmarkStart w:id="87" w:name="_Toc26537"/>
      <w:bookmarkStart w:id="88" w:name="_Toc59"/>
      <w:bookmarkStart w:id="89" w:name="_Toc19692"/>
      <w:bookmarkStart w:id="90" w:name="_Toc25382"/>
      <w:bookmarkStart w:id="91" w:name="_Toc30932"/>
      <w:bookmarkStart w:id="92" w:name="_Toc32239"/>
      <w:bookmarkStart w:id="93" w:name="_Toc19232"/>
      <w:bookmarkStart w:id="94" w:name="_Toc3561"/>
      <w:bookmarkStart w:id="95" w:name="_Toc21973"/>
      <w:bookmarkStart w:id="96" w:name="_Toc15203"/>
      <w:bookmarkStart w:id="97" w:name="_Toc30058"/>
      <w:bookmarkStart w:id="98" w:name="_Toc28179"/>
      <w:bookmarkStart w:id="99" w:name="_Toc28659"/>
      <w:bookmarkStart w:id="100" w:name="_Toc27261"/>
      <w:bookmarkStart w:id="101" w:name="_Toc11227"/>
      <w:bookmarkStart w:id="102" w:name="_Toc10833"/>
      <w:bookmarkStart w:id="103" w:name="_Toc5356"/>
      <w:r>
        <w:rPr>
          <w:rFonts w:hint="eastAsia"/>
          <w:szCs w:val="22"/>
          <w:lang w:eastAsia="zh-CN"/>
        </w:rPr>
        <w:t>网络设备安装</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rFonts w:hint="eastAsia"/>
          <w:szCs w:val="22"/>
          <w:lang w:eastAsia="zh-CN"/>
        </w:rPr>
        <w:t>规范</w:t>
      </w:r>
      <w:bookmarkEnd w:id="96"/>
      <w:bookmarkEnd w:id="97"/>
      <w:bookmarkEnd w:id="98"/>
      <w:bookmarkEnd w:id="99"/>
      <w:bookmarkEnd w:id="100"/>
      <w:bookmarkEnd w:id="101"/>
      <w:bookmarkEnd w:id="102"/>
      <w:bookmarkEnd w:id="103"/>
      <w:bookmarkStart w:id="104" w:name="_Toc20992"/>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szCs w:val="22"/>
          <w:lang w:val="en-US" w:eastAsia="zh-CN"/>
        </w:rPr>
      </w:pPr>
      <w:bookmarkStart w:id="105" w:name="_Toc31594"/>
      <w:bookmarkStart w:id="106" w:name="_Toc28172"/>
      <w:bookmarkStart w:id="107" w:name="_Toc21868"/>
      <w:bookmarkStart w:id="108" w:name="_Toc14032"/>
      <w:bookmarkStart w:id="109" w:name="_Toc32661"/>
      <w:bookmarkStart w:id="110" w:name="_Toc2775"/>
      <w:bookmarkStart w:id="111" w:name="_Toc854"/>
      <w:bookmarkStart w:id="112" w:name="_Toc16624"/>
      <w:r>
        <w:rPr>
          <w:rFonts w:hint="eastAsia"/>
          <w:szCs w:val="22"/>
          <w:lang w:val="en-US" w:eastAsia="zh-CN"/>
        </w:rPr>
        <w:t>4.1 机房货物存放规范</w:t>
      </w:r>
      <w:bookmarkEnd w:id="105"/>
      <w:bookmarkEnd w:id="106"/>
      <w:bookmarkEnd w:id="107"/>
      <w:bookmarkEnd w:id="108"/>
      <w:bookmarkEnd w:id="109"/>
      <w:bookmarkEnd w:id="110"/>
      <w:bookmarkEnd w:id="111"/>
      <w:bookmarkEnd w:id="112"/>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在机房里，工程材料的堆放要整齐、干净、无安全隐患，并贴上标签，标识所属工程及摆放时间。</w:t>
      </w:r>
    </w:p>
    <w:p>
      <w:pPr>
        <w:keepNext w:val="0"/>
        <w:keepLines w:val="0"/>
        <w:pageBreakBefore w:val="0"/>
        <w:widowControl/>
        <w:numPr>
          <w:ilvl w:val="0"/>
          <w:numId w:val="6"/>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ajorEastAsia" w:hAnsiTheme="majorEastAsia" w:eastAsiaTheme="majorEastAsia" w:cstheme="majorEastAsia"/>
          <w:b w:val="0"/>
          <w:bCs/>
          <w:sz w:val="24"/>
          <w:szCs w:val="24"/>
          <w:lang w:val="en-US" w:eastAsia="zh-CN"/>
        </w:rPr>
      </w:pPr>
      <w:r>
        <w:rPr>
          <w:rFonts w:hint="eastAsia" w:ascii="宋体" w:hAnsi="宋体" w:eastAsia="宋体" w:cs="宋体"/>
          <w:color w:val="auto"/>
          <w:sz w:val="24"/>
          <w:szCs w:val="24"/>
          <w:lang w:eastAsia="zh-CN"/>
        </w:rPr>
        <w:t>机房内严禁存放易燃、易爆等危险物品。</w:t>
      </w:r>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szCs w:val="22"/>
          <w:lang w:val="en-US" w:eastAsia="zh-CN"/>
        </w:rPr>
      </w:pPr>
      <w:bookmarkStart w:id="113" w:name="_Toc17552"/>
      <w:bookmarkStart w:id="114" w:name="_Toc12520"/>
      <w:bookmarkStart w:id="115" w:name="_Toc18343"/>
      <w:bookmarkStart w:id="116" w:name="_Toc32406"/>
      <w:bookmarkStart w:id="117" w:name="_Toc19524"/>
      <w:bookmarkStart w:id="118" w:name="_Toc8670"/>
      <w:bookmarkStart w:id="119" w:name="_Toc20456"/>
      <w:bookmarkStart w:id="120" w:name="_Toc19467"/>
      <w:r>
        <w:rPr>
          <w:rFonts w:hint="eastAsia"/>
          <w:szCs w:val="22"/>
          <w:lang w:val="en-US" w:eastAsia="zh-CN"/>
        </w:rPr>
        <w:t>4.2设备安装规范</w:t>
      </w:r>
      <w:bookmarkEnd w:id="104"/>
      <w:bookmarkEnd w:id="113"/>
      <w:bookmarkEnd w:id="114"/>
      <w:bookmarkEnd w:id="115"/>
      <w:bookmarkEnd w:id="116"/>
      <w:bookmarkEnd w:id="117"/>
      <w:bookmarkEnd w:id="118"/>
      <w:bookmarkEnd w:id="119"/>
      <w:bookmarkEnd w:id="120"/>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安装在设备集装机架内的设备的排列应符合工程设计的要求，应优先占满机架下部空间。安装在机架内部的显示器、键盘的高度应便于维护人员站立时操作。</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根据设备的不同出线方式，机架内所安装设备的连接线缆(在满足线缆布放弯曲半径要求条件下 )不影响机架前、后门正常开关，走线要绕行，不能挡住设备插槽的进出。</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互为备份的设备要尽量放在不同的机柜里，并且使用不同相路的电源。</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安装在设备集装机架内的设备应和机架的加固立柱进行加固，质量较大的设备除与立柱加固外应同时采用托板支撑。设备安装加固件应优先采用设备原厂配套器件。</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设备机框内暂未使用的空槽位应采用厂家提供的假面板安装。</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交直流设备应分开不同的机架安装。</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为了保证机柜的稳定，要求质量大的设备安装在低层。</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机柜要使用至少不同两路输入的电源，其插座要求是多功能，最好带开关。</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宽度小于机架左右加固立柱标准间距的设备可以直接放置在机架内的托板上，但是必须采取紧固措施，避免设备在机架倾斜时发生位置移动。</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机架内的设备安装间距、托板设置应不影响设备散热。</w:t>
      </w:r>
    </w:p>
    <w:p>
      <w:pPr>
        <w:keepNext w:val="0"/>
        <w:keepLines w:val="0"/>
        <w:pageBreakBefore w:val="0"/>
        <w:widowControl/>
        <w:kinsoku/>
        <w:wordWrap/>
        <w:overflowPunct/>
        <w:topLinePunct w:val="0"/>
        <w:autoSpaceDE/>
        <w:autoSpaceDN/>
        <w:bidi w:val="0"/>
        <w:adjustRightInd/>
        <w:snapToGrid/>
        <w:spacing w:line="240" w:lineRule="auto"/>
        <w:ind w:right="0" w:rightChars="0"/>
        <w:jc w:val="left"/>
        <w:textAlignment w:val="auto"/>
        <w:rPr>
          <w:color w:val="auto"/>
          <w:sz w:val="20"/>
          <w:szCs w:val="20"/>
        </w:rPr>
      </w:pPr>
    </w:p>
    <w:p>
      <w:pPr>
        <w:pStyle w:val="2"/>
        <w:keepNext/>
        <w:keepLines/>
        <w:pageBreakBefore w:val="0"/>
        <w:widowControl/>
        <w:kinsoku/>
        <w:wordWrap/>
        <w:overflowPunct/>
        <w:topLinePunct w:val="0"/>
        <w:autoSpaceDE/>
        <w:autoSpaceDN/>
        <w:bidi w:val="0"/>
        <w:adjustRightInd/>
        <w:snapToGrid/>
        <w:spacing w:before="340" w:beforeLines="0" w:after="330" w:afterLines="0" w:line="360" w:lineRule="auto"/>
        <w:ind w:left="0" w:leftChars="0" w:right="0" w:rightChars="0" w:firstLine="0" w:firstLineChars="0"/>
        <w:jc w:val="left"/>
        <w:textAlignment w:val="auto"/>
        <w:outlineLvl w:val="0"/>
        <w:rPr>
          <w:rFonts w:hint="eastAsia"/>
          <w:szCs w:val="22"/>
          <w:lang w:eastAsia="zh-CN"/>
        </w:rPr>
      </w:pPr>
      <w:bookmarkStart w:id="121" w:name="page9"/>
      <w:bookmarkEnd w:id="121"/>
      <w:bookmarkStart w:id="122" w:name="_Toc4378"/>
      <w:bookmarkStart w:id="123" w:name="_Toc12141"/>
      <w:bookmarkStart w:id="124" w:name="_Toc587"/>
      <w:bookmarkStart w:id="125" w:name="_Toc18595"/>
      <w:bookmarkStart w:id="126" w:name="_Toc12088"/>
      <w:bookmarkStart w:id="127" w:name="_Toc2631"/>
      <w:bookmarkStart w:id="128" w:name="_Toc24426"/>
      <w:bookmarkStart w:id="129" w:name="_Toc19421"/>
      <w:bookmarkStart w:id="130" w:name="_Toc9672"/>
      <w:bookmarkStart w:id="131" w:name="_Toc22337"/>
      <w:bookmarkStart w:id="132" w:name="_Toc23357"/>
      <w:bookmarkStart w:id="133" w:name="_Toc6991"/>
      <w:bookmarkStart w:id="134" w:name="_Toc13723"/>
      <w:bookmarkStart w:id="135" w:name="_Toc12473"/>
      <w:bookmarkStart w:id="136" w:name="_Toc788"/>
      <w:bookmarkStart w:id="137" w:name="_Toc23646"/>
      <w:bookmarkStart w:id="138" w:name="_Toc2052"/>
      <w:bookmarkStart w:id="139" w:name="_Toc12486"/>
      <w:bookmarkStart w:id="140" w:name="_Toc21724"/>
      <w:bookmarkStart w:id="141" w:name="_Toc3592"/>
      <w:bookmarkStart w:id="142" w:name="_Toc32026"/>
      <w:bookmarkStart w:id="143" w:name="_Toc18053"/>
      <w:bookmarkStart w:id="144" w:name="_Toc27568"/>
      <w:r>
        <w:rPr>
          <w:rFonts w:hint="eastAsia"/>
          <w:szCs w:val="22"/>
          <w:lang w:eastAsia="zh-CN"/>
        </w:rPr>
        <w:t>线缆的布放</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Pr>
          <w:rFonts w:hint="eastAsia"/>
          <w:szCs w:val="22"/>
          <w:lang w:eastAsia="zh-CN"/>
        </w:rPr>
        <w:t>规范</w:t>
      </w:r>
      <w:bookmarkEnd w:id="143"/>
      <w:bookmarkEnd w:id="144"/>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Chars="0" w:right="0" w:rightChars="0"/>
        <w:jc w:val="left"/>
        <w:textAlignment w:val="auto"/>
        <w:outlineLvl w:val="1"/>
        <w:rPr>
          <w:rFonts w:hint="eastAsia"/>
          <w:szCs w:val="22"/>
          <w:lang w:val="en-US" w:eastAsia="zh-CN"/>
        </w:rPr>
      </w:pPr>
      <w:bookmarkStart w:id="145" w:name="_Toc12027"/>
      <w:bookmarkStart w:id="146" w:name="_Toc1144"/>
      <w:bookmarkStart w:id="147" w:name="_Toc11275"/>
      <w:bookmarkStart w:id="148" w:name="_Toc14754"/>
      <w:bookmarkStart w:id="149" w:name="_Toc17706"/>
      <w:bookmarkStart w:id="150" w:name="_Toc24136"/>
      <w:bookmarkStart w:id="151" w:name="_Toc30787"/>
      <w:bookmarkStart w:id="152" w:name="_Toc25637"/>
      <w:bookmarkStart w:id="153" w:name="_Toc16018"/>
      <w:r>
        <w:rPr>
          <w:rFonts w:hint="eastAsia"/>
          <w:szCs w:val="22"/>
          <w:lang w:val="en-US" w:eastAsia="zh-CN"/>
        </w:rPr>
        <w:t>5.1光纤布放规范</w:t>
      </w:r>
      <w:bookmarkEnd w:id="145"/>
      <w:bookmarkEnd w:id="146"/>
      <w:bookmarkEnd w:id="147"/>
      <w:bookmarkEnd w:id="148"/>
      <w:bookmarkEnd w:id="149"/>
      <w:bookmarkEnd w:id="150"/>
      <w:bookmarkEnd w:id="151"/>
      <w:bookmarkEnd w:id="152"/>
      <w:bookmarkEnd w:id="153"/>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光纤跳线 (尾纤 )应布放在专门的光纤槽道内，槽内光跳线 (尾纤 )应顺直，尽量不交叉，不得溢出槽道，在进出槽道部位和转弯处应绑扎或用套管保护，同时不得有其它电缆压在上面。</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光纤跳线布放时应注意光纤的脆弱性，无死弯、紧绷现象，曲率半径应≥40mm，施工时注意安全，避免灼伤眼睛。</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光纤在配线架内应理顺固定，对接可靠，盘留光纤连接线的长度适当，便于维护、调度，一般不超过3米。</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从光纤槽道中引出或进出机柜的光纤连接线宜采用保护管。</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光纤接头应保持清洁，确保光纤与之可靠连接。</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无套管保护部分宜用活扣扎带绑扎，无明显扭绞。</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光纤在走线槽上不能放置在其他电缆的下方,多余尾纤应盘放在 ODF 的盘纤单元上。</w:t>
      </w:r>
      <w:bookmarkStart w:id="154" w:name="page11"/>
      <w:bookmarkEnd w:id="154"/>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光纤标签必须黏贴整齐规范，标签内容能够明确对端设备位置、端口（涉及到传输的必须包含传输调单号）</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需要提供现场照片。</w:t>
      </w:r>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szCs w:val="22"/>
          <w:lang w:val="en-US" w:eastAsia="zh-CN"/>
        </w:rPr>
      </w:pPr>
      <w:bookmarkStart w:id="155" w:name="_Toc23445"/>
      <w:bookmarkStart w:id="156" w:name="_Toc3578"/>
      <w:bookmarkStart w:id="157" w:name="_Toc15845"/>
      <w:bookmarkStart w:id="158" w:name="_Toc24590"/>
      <w:bookmarkStart w:id="159" w:name="_Toc12834"/>
      <w:bookmarkStart w:id="160" w:name="_Toc13468"/>
      <w:bookmarkStart w:id="161" w:name="_Toc911"/>
      <w:bookmarkStart w:id="162" w:name="_Toc4715"/>
      <w:r>
        <w:rPr>
          <w:rFonts w:hint="eastAsia"/>
          <w:szCs w:val="22"/>
          <w:lang w:val="en-US" w:eastAsia="zh-CN"/>
        </w:rPr>
        <w:t>5.2电缆布放规范</w:t>
      </w:r>
      <w:bookmarkEnd w:id="155"/>
      <w:bookmarkEnd w:id="156"/>
      <w:bookmarkEnd w:id="157"/>
      <w:bookmarkEnd w:id="158"/>
      <w:bookmarkEnd w:id="159"/>
      <w:bookmarkEnd w:id="160"/>
      <w:bookmarkEnd w:id="161"/>
      <w:bookmarkEnd w:id="162"/>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布放电缆的规格、路由、截面和位置应符合工程设计的规定，电缆排列必须整齐，外皮无损伤。</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电力电缆绑扎间距均匀、线束平整，松紧适度，电缆转弯应均匀圆滑，弯弧外部应保持垂直或水平成直线，铠装电力电缆弯曲半径应≥12倍电缆外径，塑包电力电缆及其他软电缆的弯曲半径应≥6倍电缆外径。</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电源电缆必须采用整段线料，中间无接头；电源电缆、信号电缆、交/ 直流电缆应分离布放。</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电源线接续时应连接牢固，接头接触良好，</w:t>
      </w:r>
      <w:r>
        <w:rPr>
          <w:rFonts w:hint="eastAsia" w:asciiTheme="minorEastAsia" w:hAnsiTheme="minorEastAsia" w:eastAsiaTheme="minorEastAsia" w:cstheme="minorEastAsia"/>
          <w:sz w:val="24"/>
          <w:szCs w:val="24"/>
        </w:rPr>
        <w:t>正负极颜色标准、统一</w:t>
      </w:r>
      <w:r>
        <w:rPr>
          <w:rFonts w:hint="eastAsia" w:asciiTheme="minorEastAsia" w:hAnsiTheme="minorEastAsia" w:eastAsiaTheme="minorEastAsia" w:cstheme="minorEastAsia"/>
          <w:color w:val="auto"/>
          <w:sz w:val="24"/>
          <w:szCs w:val="24"/>
          <w:lang w:val="en-US" w:eastAsia="zh-CN"/>
        </w:rPr>
        <w:t>。直流电源线应保证电压降指标及对地电位符合设计要求。</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直流馈电线的每对馈电线应保持平行，正负线两端应用统一红蓝标志。</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安装后的电源线末端必须用胶带等绝缘物封头，电缆剖头处必须用胶带和护套封扎。</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布放走道电缆必须绑扎，绑扎材料统一，所有扎带的尾部必须剪平。</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绑扎后的同类电缆应互相紧密靠拢外观平直整齐， 线扣间距均匀一致，松紧适度。</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布放槽道电缆可以不绑扎。槽内电缆应顺直，尽量不交叉。电缆不得溢出槽道。在电缆进出槽道部位和电缆转弯处应绑扎或用塑料卡捆扎固定。</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料卡捆扎固定。在机房内光纤跳线数量较少时，也可在通信电缆走线架中或活动地板下布放，此时必须使用 PVC 套管进行保护后布放。</w:t>
      </w:r>
      <w:bookmarkStart w:id="163" w:name="page10"/>
      <w:bookmarkEnd w:id="163"/>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需要提供现场照片。</w:t>
      </w:r>
    </w:p>
    <w:p>
      <w:pPr>
        <w:pStyle w:val="2"/>
        <w:keepNext/>
        <w:keepLines/>
        <w:pageBreakBefore w:val="0"/>
        <w:widowControl/>
        <w:kinsoku/>
        <w:wordWrap/>
        <w:overflowPunct/>
        <w:topLinePunct w:val="0"/>
        <w:autoSpaceDE/>
        <w:autoSpaceDN/>
        <w:bidi w:val="0"/>
        <w:adjustRightInd/>
        <w:snapToGrid/>
        <w:spacing w:before="340" w:beforeLines="0" w:after="330" w:afterLines="0" w:line="360" w:lineRule="auto"/>
        <w:ind w:left="0" w:leftChars="0" w:right="0" w:rightChars="0" w:firstLine="0" w:firstLineChars="0"/>
        <w:jc w:val="left"/>
        <w:textAlignment w:val="auto"/>
        <w:outlineLvl w:val="0"/>
        <w:rPr>
          <w:rFonts w:hint="eastAsia"/>
          <w:szCs w:val="22"/>
          <w:lang w:val="en-US" w:eastAsia="zh-CN"/>
        </w:rPr>
      </w:pPr>
      <w:bookmarkStart w:id="164" w:name="_Toc7498"/>
      <w:bookmarkStart w:id="165" w:name="_Toc5831"/>
      <w:bookmarkStart w:id="166" w:name="_Toc10032"/>
      <w:bookmarkStart w:id="167" w:name="_Toc2230"/>
      <w:bookmarkStart w:id="168" w:name="_Toc17476"/>
      <w:bookmarkStart w:id="169" w:name="_Toc19343"/>
      <w:r>
        <w:rPr>
          <w:rFonts w:hint="eastAsia"/>
          <w:szCs w:val="22"/>
          <w:lang w:val="en-US" w:eastAsia="zh-CN"/>
        </w:rPr>
        <w:drawing>
          <wp:anchor distT="0" distB="0" distL="114300" distR="114300" simplePos="0" relativeHeight="251658240" behindDoc="1" locked="0" layoutInCell="0" allowOverlap="1">
            <wp:simplePos x="0" y="0"/>
            <wp:positionH relativeFrom="page">
              <wp:posOffset>14406880</wp:posOffset>
            </wp:positionH>
            <wp:positionV relativeFrom="page">
              <wp:posOffset>9896475</wp:posOffset>
            </wp:positionV>
            <wp:extent cx="12109450" cy="17150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a:xfrm>
                      <a:off x="0" y="0"/>
                      <a:ext cx="12109450" cy="17150715"/>
                    </a:xfrm>
                    <a:prstGeom prst="rect">
                      <a:avLst/>
                    </a:prstGeom>
                    <a:noFill/>
                  </pic:spPr>
                </pic:pic>
              </a:graphicData>
            </a:graphic>
          </wp:anchor>
        </w:drawing>
      </w:r>
      <w:bookmarkStart w:id="170" w:name="page12"/>
      <w:bookmarkEnd w:id="170"/>
      <w:bookmarkStart w:id="171" w:name="_Toc17281"/>
      <w:bookmarkStart w:id="172" w:name="_Toc2677"/>
      <w:bookmarkStart w:id="173" w:name="_Toc24871"/>
      <w:bookmarkStart w:id="174" w:name="_Toc14866"/>
      <w:bookmarkStart w:id="175" w:name="_Toc5069"/>
      <w:r>
        <w:rPr>
          <w:rFonts w:hint="eastAsia"/>
          <w:szCs w:val="22"/>
          <w:lang w:val="en-US" w:eastAsia="zh-CN"/>
        </w:rPr>
        <w:t>标签制作粘贴</w:t>
      </w:r>
      <w:bookmarkEnd w:id="164"/>
      <w:bookmarkEnd w:id="165"/>
      <w:bookmarkEnd w:id="166"/>
      <w:bookmarkEnd w:id="167"/>
      <w:bookmarkEnd w:id="168"/>
      <w:bookmarkEnd w:id="171"/>
      <w:bookmarkEnd w:id="172"/>
      <w:bookmarkEnd w:id="173"/>
      <w:bookmarkEnd w:id="174"/>
      <w:bookmarkEnd w:id="175"/>
      <w:r>
        <w:rPr>
          <w:rFonts w:hint="eastAsia"/>
          <w:szCs w:val="22"/>
          <w:lang w:val="en-US" w:eastAsia="zh-CN"/>
        </w:rPr>
        <w:t>规范</w:t>
      </w:r>
      <w:bookmarkEnd w:id="169"/>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szCs w:val="22"/>
          <w:lang w:val="en-US" w:eastAsia="zh-CN"/>
        </w:rPr>
      </w:pPr>
      <w:bookmarkStart w:id="176" w:name="_Toc19986"/>
      <w:bookmarkStart w:id="177" w:name="_Toc24553"/>
      <w:bookmarkStart w:id="178" w:name="_Toc20993"/>
      <w:bookmarkStart w:id="179" w:name="_Toc15485"/>
      <w:bookmarkStart w:id="180" w:name="_Toc6416"/>
      <w:bookmarkStart w:id="181" w:name="_Toc14544"/>
      <w:bookmarkStart w:id="182" w:name="_Toc1634"/>
      <w:bookmarkStart w:id="183" w:name="_Toc29579"/>
      <w:r>
        <w:rPr>
          <w:rFonts w:hint="eastAsia"/>
          <w:szCs w:val="22"/>
          <w:lang w:val="en-US" w:eastAsia="zh-CN"/>
        </w:rPr>
        <w:t>6.1设备互联标签制作</w:t>
      </w:r>
      <w:bookmarkEnd w:id="176"/>
      <w:bookmarkEnd w:id="177"/>
      <w:bookmarkEnd w:id="178"/>
      <w:bookmarkEnd w:id="179"/>
      <w:bookmarkEnd w:id="180"/>
      <w:r>
        <w:rPr>
          <w:rFonts w:hint="eastAsia"/>
          <w:szCs w:val="22"/>
          <w:lang w:val="en-US" w:eastAsia="zh-CN"/>
        </w:rPr>
        <w:t>规范</w:t>
      </w:r>
      <w:bookmarkEnd w:id="181"/>
      <w:bookmarkEnd w:id="182"/>
      <w:bookmarkEnd w:id="183"/>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b w:val="0"/>
          <w:color w:val="auto"/>
          <w:sz w:val="24"/>
          <w:szCs w:val="24"/>
          <w:lang w:val="en-US" w:eastAsia="zh-CN"/>
        </w:rPr>
      </w:pPr>
      <w:r>
        <w:rPr>
          <w:rFonts w:hint="eastAsia" w:ascii="宋体" w:hAnsi="宋体" w:eastAsia="宋体" w:cs="宋体"/>
          <w:color w:val="auto"/>
          <w:sz w:val="24"/>
          <w:szCs w:val="24"/>
          <w:lang w:val="en-US" w:eastAsia="zh-CN"/>
        </w:rPr>
        <w:t>网络设备互联标签要求，不涉及ODF情况，要体现本端机柜位置、本端设备名称、本端设备端口、对端机柜位置、对端设备名称、对端设备端口。</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b w:val="0"/>
          <w:color w:val="auto"/>
          <w:sz w:val="24"/>
          <w:szCs w:val="24"/>
          <w:lang w:val="en-US" w:eastAsia="zh-CN"/>
        </w:rPr>
      </w:pPr>
      <w:r>
        <w:rPr>
          <w:rFonts w:hint="eastAsia" w:ascii="宋体" w:hAnsi="宋体" w:eastAsia="宋体" w:cs="宋体"/>
          <w:color w:val="auto"/>
          <w:sz w:val="24"/>
          <w:szCs w:val="24"/>
          <w:lang w:val="en-US" w:eastAsia="zh-CN"/>
        </w:rPr>
        <w:t>网络设备互联标签要求，涉及ODF情况，要体现本端机柜位置、本端设备名称、本端设备端口、对端ODF架位置、ODF架框号、ODF纤芯位置（ 备注：如果ODF架分AB面，ODF架位置要增加A面、B面）。</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b w:val="0"/>
          <w:color w:val="auto"/>
          <w:sz w:val="24"/>
          <w:szCs w:val="24"/>
          <w:lang w:val="en-US" w:eastAsia="zh-CN"/>
        </w:rPr>
      </w:pPr>
      <w:r>
        <w:rPr>
          <w:rFonts w:hint="eastAsia" w:ascii="宋体" w:hAnsi="宋体" w:eastAsia="宋体" w:cs="宋体"/>
          <w:b w:val="0"/>
          <w:color w:val="auto"/>
          <w:sz w:val="24"/>
          <w:szCs w:val="24"/>
          <w:lang w:val="en-US" w:eastAsia="zh-CN"/>
        </w:rPr>
        <w:t>网络设备到服务器，</w:t>
      </w:r>
      <w:r>
        <w:rPr>
          <w:rFonts w:hint="eastAsia" w:ascii="宋体" w:hAnsi="宋体" w:eastAsia="宋体" w:cs="宋体"/>
          <w:color w:val="auto"/>
          <w:sz w:val="24"/>
          <w:szCs w:val="24"/>
          <w:lang w:val="en-US" w:eastAsia="zh-CN"/>
        </w:rPr>
        <w:t>要体现本端机柜位置、本端设备名称、本端设备端口、对端服务器机架号、主机名称、网卡号</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b w:val="0"/>
          <w:color w:val="auto"/>
          <w:sz w:val="24"/>
          <w:szCs w:val="24"/>
          <w:lang w:val="en-US" w:eastAsia="zh-CN"/>
        </w:rPr>
      </w:pPr>
      <w:r>
        <w:rPr>
          <w:rFonts w:hint="eastAsia" w:ascii="宋体" w:hAnsi="宋体" w:eastAsia="宋体" w:cs="宋体"/>
          <w:color w:val="auto"/>
          <w:sz w:val="24"/>
          <w:szCs w:val="24"/>
          <w:lang w:val="en-US" w:eastAsia="zh-CN"/>
        </w:rPr>
        <w:t>电源标签，要体现本端机柜位置、第几路电、主用或者备用、对端列头柜位置或空开位置、多少V几排几号，举例：H5-48V1排-3#</w:t>
      </w:r>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szCs w:val="22"/>
          <w:lang w:val="en-US" w:eastAsia="zh-CN"/>
        </w:rPr>
      </w:pPr>
      <w:bookmarkStart w:id="184" w:name="_Toc1614"/>
      <w:bookmarkStart w:id="185" w:name="_Toc26772"/>
      <w:bookmarkStart w:id="186" w:name="_Toc10480"/>
      <w:bookmarkStart w:id="187" w:name="_Toc22795"/>
      <w:bookmarkStart w:id="188" w:name="_Toc18819"/>
      <w:bookmarkStart w:id="189" w:name="_Toc27500"/>
      <w:bookmarkStart w:id="190" w:name="_Toc15585"/>
      <w:bookmarkStart w:id="191" w:name="_Toc27920"/>
      <w:r>
        <w:rPr>
          <w:rFonts w:hint="eastAsia"/>
          <w:szCs w:val="22"/>
          <w:lang w:val="en-US" w:eastAsia="zh-CN"/>
        </w:rPr>
        <w:t>6.2 设备标准制作</w:t>
      </w:r>
      <w:bookmarkEnd w:id="184"/>
      <w:bookmarkEnd w:id="185"/>
      <w:bookmarkEnd w:id="186"/>
      <w:bookmarkEnd w:id="187"/>
      <w:bookmarkEnd w:id="188"/>
      <w:r>
        <w:rPr>
          <w:rFonts w:hint="eastAsia"/>
          <w:szCs w:val="22"/>
          <w:lang w:val="en-US" w:eastAsia="zh-CN"/>
        </w:rPr>
        <w:t>规范</w:t>
      </w:r>
      <w:bookmarkEnd w:id="189"/>
      <w:bookmarkEnd w:id="190"/>
      <w:bookmarkEnd w:id="191"/>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0" w:leftChars="0" w:right="0" w:rightChars="0" w:hanging="425" w:firstLineChars="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设备标签如下 :</w:t>
      </w:r>
    </w:p>
    <w:p>
      <w:pPr>
        <w:keepNext w:val="0"/>
        <w:keepLines w:val="0"/>
        <w:pageBreakBefore w:val="0"/>
        <w:widowControl/>
        <w:numPr>
          <w:ilvl w:val="0"/>
          <w:numId w:val="0"/>
        </w:numPr>
        <w:kinsoku/>
        <w:wordWrap/>
        <w:overflowPunct/>
        <w:topLinePunct w:val="0"/>
        <w:autoSpaceDE/>
        <w:autoSpaceDN/>
        <w:bidi w:val="0"/>
        <w:adjustRightInd/>
        <w:snapToGrid/>
        <w:spacing w:line="411" w:lineRule="exact"/>
        <w:ind w:left="0" w:leftChars="0" w:right="0" w:rightChars="0" w:firstLine="960" w:firstLineChars="400"/>
        <w:jc w:val="left"/>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设备所属工程名称：</w:t>
      </w:r>
      <w:r>
        <w:rPr>
          <w:rFonts w:hint="eastAsia" w:asciiTheme="minorEastAsia" w:hAnsiTheme="minorEastAsia" w:eastAsiaTheme="minorEastAsia" w:cstheme="minorEastAsia"/>
          <w:color w:val="auto"/>
          <w:sz w:val="24"/>
          <w:szCs w:val="24"/>
          <w:lang w:val="en-US" w:eastAsia="zh-CN"/>
        </w:rPr>
        <w:t>必选项，所描述设备所属的工程名称，应该与相关合同描述一致。如：中移在线全网VPN工程。</w:t>
      </w:r>
    </w:p>
    <w:p>
      <w:pPr>
        <w:keepNext w:val="0"/>
        <w:keepLines w:val="0"/>
        <w:pageBreakBefore w:val="0"/>
        <w:widowControl/>
        <w:numPr>
          <w:ilvl w:val="0"/>
          <w:numId w:val="0"/>
        </w:numPr>
        <w:kinsoku/>
        <w:wordWrap/>
        <w:overflowPunct/>
        <w:topLinePunct w:val="0"/>
        <w:autoSpaceDE/>
        <w:autoSpaceDN/>
        <w:bidi w:val="0"/>
        <w:adjustRightInd/>
        <w:snapToGrid/>
        <w:spacing w:line="411" w:lineRule="exact"/>
        <w:ind w:firstLine="960" w:firstLineChars="400"/>
        <w:jc w:val="left"/>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设备型号：</w:t>
      </w:r>
      <w:r>
        <w:rPr>
          <w:rFonts w:hint="eastAsia" w:asciiTheme="minorEastAsia" w:hAnsiTheme="minorEastAsia" w:eastAsiaTheme="minorEastAsia" w:cstheme="minorEastAsia"/>
          <w:color w:val="auto"/>
          <w:sz w:val="24"/>
          <w:szCs w:val="24"/>
          <w:lang w:val="en-US" w:eastAsia="zh-CN"/>
        </w:rPr>
        <w:t xml:space="preserve"> 必选项，所描述设备的详细型号。如：NE40E-X16</w:t>
      </w:r>
    </w:p>
    <w:p>
      <w:pPr>
        <w:keepNext w:val="0"/>
        <w:keepLines w:val="0"/>
        <w:pageBreakBefore w:val="0"/>
        <w:widowControl/>
        <w:numPr>
          <w:ilvl w:val="0"/>
          <w:numId w:val="0"/>
        </w:numPr>
        <w:kinsoku/>
        <w:wordWrap/>
        <w:overflowPunct/>
        <w:topLinePunct w:val="0"/>
        <w:autoSpaceDE/>
        <w:autoSpaceDN/>
        <w:bidi w:val="0"/>
        <w:adjustRightInd/>
        <w:snapToGrid/>
        <w:spacing w:line="411" w:lineRule="exact"/>
        <w:ind w:firstLine="960" w:firstLineChars="400"/>
        <w:jc w:val="left"/>
        <w:textAlignment w:val="auto"/>
        <w:outlineLvl w:val="9"/>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设备逻辑名：</w:t>
      </w:r>
      <w:r>
        <w:rPr>
          <w:rFonts w:hint="eastAsia" w:asciiTheme="minorEastAsia" w:hAnsiTheme="minorEastAsia" w:eastAsiaTheme="minorEastAsia" w:cstheme="minorEastAsia"/>
          <w:color w:val="auto"/>
          <w:sz w:val="24"/>
          <w:szCs w:val="24"/>
          <w:lang w:val="en-US" w:eastAsia="zh-CN"/>
        </w:rPr>
        <w:t>必选项，所描述设备的逻辑名（参照中移在线服务有限公司网络设备命名规范）</w:t>
      </w:r>
    </w:p>
    <w:p>
      <w:pPr>
        <w:keepNext w:val="0"/>
        <w:keepLines w:val="0"/>
        <w:pageBreakBefore w:val="0"/>
        <w:widowControl/>
        <w:numPr>
          <w:ilvl w:val="0"/>
          <w:numId w:val="0"/>
        </w:numPr>
        <w:kinsoku/>
        <w:wordWrap/>
        <w:overflowPunct/>
        <w:topLinePunct w:val="0"/>
        <w:autoSpaceDE/>
        <w:autoSpaceDN/>
        <w:bidi w:val="0"/>
        <w:adjustRightInd/>
        <w:snapToGrid/>
        <w:spacing w:line="411" w:lineRule="exact"/>
        <w:ind w:firstLine="960" w:firstLineChars="400"/>
        <w:jc w:val="left"/>
        <w:textAlignment w:val="auto"/>
        <w:outlineLvl w:val="9"/>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设备用途：</w:t>
      </w:r>
      <w:r>
        <w:rPr>
          <w:rFonts w:hint="eastAsia" w:asciiTheme="minorEastAsia" w:hAnsiTheme="minorEastAsia" w:eastAsiaTheme="minorEastAsia" w:cstheme="minorEastAsia"/>
          <w:color w:val="auto"/>
          <w:sz w:val="24"/>
          <w:szCs w:val="24"/>
          <w:lang w:val="en-US" w:eastAsia="zh-CN"/>
        </w:rPr>
        <w:t xml:space="preserve"> 必选项，应描述此设备在工程项目中的具体用途。</w:t>
      </w:r>
    </w:p>
    <w:p>
      <w:pPr>
        <w:keepNext w:val="0"/>
        <w:keepLines w:val="0"/>
        <w:pageBreakBefore w:val="0"/>
        <w:widowControl/>
        <w:numPr>
          <w:ilvl w:val="0"/>
          <w:numId w:val="0"/>
        </w:numPr>
        <w:kinsoku/>
        <w:wordWrap/>
        <w:overflowPunct/>
        <w:topLinePunct w:val="0"/>
        <w:autoSpaceDE/>
        <w:autoSpaceDN/>
        <w:bidi w:val="0"/>
        <w:adjustRightInd/>
        <w:snapToGrid/>
        <w:spacing w:line="437" w:lineRule="exact"/>
        <w:ind w:firstLine="960" w:firstLineChars="4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设备 IP 地址：</w:t>
      </w:r>
      <w:r>
        <w:rPr>
          <w:rFonts w:hint="eastAsia" w:asciiTheme="minorEastAsia" w:hAnsiTheme="minorEastAsia" w:eastAsiaTheme="minorEastAsia" w:cstheme="minorEastAsia"/>
          <w:color w:val="auto"/>
          <w:sz w:val="24"/>
          <w:szCs w:val="24"/>
          <w:lang w:eastAsia="zh-CN"/>
        </w:rPr>
        <w:t>设备管理地址或者</w:t>
      </w:r>
      <w:r>
        <w:rPr>
          <w:rFonts w:hint="eastAsia" w:asciiTheme="minorEastAsia" w:hAnsiTheme="minorEastAsia" w:eastAsiaTheme="minorEastAsia" w:cstheme="minorEastAsia"/>
          <w:color w:val="auto"/>
          <w:sz w:val="24"/>
          <w:szCs w:val="24"/>
          <w:lang w:val="en-US" w:eastAsia="zh-CN"/>
        </w:rPr>
        <w:t xml:space="preserve"> Loopback地址</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firstLine="960" w:firstLineChars="400"/>
        <w:jc w:val="left"/>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设备维护责任人：可选项，直接负责此设备的维护工程师姓名。</w:t>
      </w:r>
      <w:bookmarkStart w:id="192" w:name="page13"/>
      <w:bookmarkEnd w:id="192"/>
    </w:p>
    <w:p>
      <w:pPr>
        <w:pStyle w:val="3"/>
        <w:keepNext/>
        <w:keepLines/>
        <w:pageBreakBefore w:val="0"/>
        <w:widowControl/>
        <w:numPr>
          <w:ilvl w:val="1"/>
          <w:numId w:val="0"/>
        </w:numPr>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szCs w:val="22"/>
          <w:lang w:val="en-US" w:eastAsia="zh-CN"/>
        </w:rPr>
      </w:pPr>
      <w:bookmarkStart w:id="193" w:name="_Toc2286"/>
      <w:bookmarkStart w:id="194" w:name="_Toc25119"/>
      <w:bookmarkStart w:id="195" w:name="_Toc18573"/>
      <w:bookmarkStart w:id="196" w:name="_Toc577"/>
      <w:bookmarkStart w:id="197" w:name="_Toc8802"/>
      <w:bookmarkStart w:id="198" w:name="_Toc5414"/>
      <w:bookmarkStart w:id="199" w:name="_Toc30189"/>
      <w:bookmarkStart w:id="200" w:name="_Toc10500"/>
      <w:r>
        <w:rPr>
          <w:rFonts w:hint="eastAsia"/>
          <w:szCs w:val="22"/>
          <w:lang w:val="en-US" w:eastAsia="zh-CN"/>
        </w:rPr>
        <w:t>6.3 标签粘贴以及其它</w:t>
      </w:r>
      <w:bookmarkEnd w:id="193"/>
      <w:bookmarkEnd w:id="194"/>
      <w:bookmarkEnd w:id="195"/>
      <w:bookmarkEnd w:id="196"/>
      <w:bookmarkEnd w:id="197"/>
      <w:r>
        <w:rPr>
          <w:rFonts w:hint="eastAsia"/>
          <w:szCs w:val="22"/>
          <w:lang w:val="en-US" w:eastAsia="zh-CN"/>
        </w:rPr>
        <w:t>规范</w:t>
      </w:r>
      <w:bookmarkEnd w:id="198"/>
      <w:bookmarkEnd w:id="199"/>
      <w:bookmarkEnd w:id="200"/>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标签内容应清晰可见，标签应采用白色硬塑料介质，标签内容禁止手工录入，标签的全部内容均应朝向机柜外侧，标签之间应有明显层次，不能相互遮挡，标签表面必须进行压模处理。</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如果是设备到 DDF或 ODF的标签，请标明 DDF或 ODF的楼层、机房、架号、端子和收发标识。</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到 DDF 或 ODF 标签需做成双面，一面写物理位置 ，另一面写逻辑局向。如：</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机柜位置标签：一般由字母和数字组合而成。如：B01 表示 B 排第 1 个机柜，一般来说 A00 表示 A 排的电源列柜。</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贴资产标签该先选贴在各块板的正面空位上，若正面没有地方，就选贴在上面板。</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844" w:leftChars="0" w:right="0" w:rightChars="0" w:hanging="425" w:firstLineChars="0"/>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对于多插板的设备，大部分的标签都可以贴在面板上，但有的板上面布满了指示灯，建议贴在下方的指示灯上（尺寸刚好） ，但不要盖住指示灯的名称</w:t>
      </w:r>
      <w:bookmarkStart w:id="201" w:name="page15"/>
      <w:bookmarkEnd w:id="201"/>
      <w:bookmarkStart w:id="202" w:name="_Toc9236"/>
      <w:bookmarkStart w:id="203" w:name="_Toc1578"/>
      <w:bookmarkStart w:id="204" w:name="_Toc20253"/>
      <w:bookmarkStart w:id="205" w:name="_Toc26000"/>
      <w:bookmarkStart w:id="206" w:name="_Toc22860"/>
      <w:bookmarkStart w:id="207" w:name="_Toc27125"/>
      <w:bookmarkStart w:id="208" w:name="_Toc26432"/>
      <w:bookmarkStart w:id="209" w:name="_Toc1709"/>
      <w:bookmarkStart w:id="210" w:name="_Toc12084"/>
      <w:bookmarkStart w:id="211" w:name="_Toc24927"/>
      <w:bookmarkStart w:id="212" w:name="_Toc28244"/>
      <w:bookmarkStart w:id="213" w:name="_Toc16581"/>
      <w:bookmarkStart w:id="214" w:name="_Toc30809"/>
      <w:bookmarkStart w:id="215" w:name="_Toc32600"/>
      <w:bookmarkStart w:id="216" w:name="_Toc27616"/>
    </w:p>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Pr>
        <w:keepNext w:val="0"/>
        <w:keepLines w:val="0"/>
        <w:pageBreakBefore w:val="0"/>
        <w:widowControl/>
        <w:tabs>
          <w:tab w:val="left" w:pos="3380"/>
        </w:tabs>
        <w:kinsoku/>
        <w:wordWrap/>
        <w:overflowPunct/>
        <w:topLinePunct w:val="0"/>
        <w:autoSpaceDE/>
        <w:autoSpaceDN/>
        <w:bidi w:val="0"/>
        <w:adjustRightInd/>
        <w:snapToGrid/>
        <w:spacing w:line="240" w:lineRule="auto"/>
        <w:ind w:left="2200" w:leftChars="1000" w:right="0" w:rightChars="0"/>
        <w:jc w:val="left"/>
        <w:textAlignment w:val="auto"/>
        <w:outlineLvl w:val="9"/>
        <w:rPr>
          <w:rFonts w:ascii="宋体" w:hAnsi="宋体" w:eastAsia="宋体" w:cs="宋体"/>
          <w:color w:val="auto"/>
          <w:sz w:val="35"/>
          <w:szCs w:val="35"/>
        </w:rPr>
        <w:sectPr>
          <w:pgSz w:w="19120" w:h="27080"/>
          <w:pgMar w:top="2007" w:right="1800" w:bottom="1440" w:left="1800" w:header="0" w:footer="0" w:gutter="0"/>
          <w:cols w:equalWidth="0" w:num="1">
            <w:col w:w="16240"/>
          </w:cols>
          <w:rtlGutter w:val="0"/>
          <w:docGrid w:linePitch="0" w:charSpace="0"/>
        </w:sectPr>
      </w:pPr>
    </w:p>
    <w:p>
      <w:pPr>
        <w:tabs>
          <w:tab w:val="left" w:pos="3380"/>
        </w:tabs>
        <w:spacing w:after="0" w:line="437" w:lineRule="exact"/>
        <w:ind w:left="2460"/>
        <w:rPr>
          <w:rFonts w:ascii="宋体" w:hAnsi="宋体" w:eastAsia="宋体" w:cs="宋体"/>
          <w:color w:val="auto"/>
          <w:sz w:val="35"/>
          <w:szCs w:val="35"/>
        </w:rPr>
      </w:pPr>
    </w:p>
    <w:p>
      <w:pPr>
        <w:tabs>
          <w:tab w:val="left" w:pos="3380"/>
        </w:tabs>
        <w:spacing w:after="0" w:line="437" w:lineRule="exact"/>
        <w:ind w:left="2460"/>
        <w:rPr>
          <w:rFonts w:ascii="宋体" w:hAnsi="宋体" w:eastAsia="宋体" w:cs="宋体"/>
          <w:color w:val="auto"/>
          <w:sz w:val="35"/>
          <w:szCs w:val="35"/>
        </w:rPr>
      </w:pPr>
    </w:p>
    <w:sectPr>
      <w:type w:val="continuous"/>
      <w:pgSz w:w="19120" w:h="27080"/>
      <w:pgMar w:top="1440" w:right="1440" w:bottom="720" w:left="1440" w:header="0" w:footer="0" w:gutter="0"/>
      <w:cols w:equalWidth="0" w:num="1">
        <w:col w:w="16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2FF" w:usb1="40000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numPr>
        <w:ilvl w:val="0"/>
        <w:numId w:val="0"/>
      </w:numPr>
      <w:ind w:left="840" w:leftChars="0"/>
      <w:jc w:val="right"/>
      <w:rPr>
        <w:rFonts w:hint="eastAsia"/>
        <w:sz w:val="44"/>
        <w:szCs w:val="44"/>
        <w:lang w:val="en-US" w:eastAsia="zh-CN"/>
      </w:rPr>
    </w:pPr>
  </w:p>
  <w:p>
    <w:pPr>
      <w:pStyle w:val="13"/>
      <w:numPr>
        <w:ilvl w:val="0"/>
        <w:numId w:val="0"/>
      </w:numPr>
      <w:ind w:left="840" w:leftChars="0"/>
      <w:jc w:val="right"/>
      <w:rPr>
        <w:rFonts w:hint="eastAsia"/>
        <w:sz w:val="44"/>
        <w:szCs w:val="44"/>
        <w:lang w:val="en-US" w:eastAsia="zh-CN"/>
      </w:rPr>
    </w:pPr>
    <w:r>
      <w:rPr>
        <w:rFonts w:hint="eastAsia"/>
        <w:sz w:val="44"/>
        <w:szCs w:val="44"/>
        <w:lang w:val="en-US" w:eastAsia="zh-CN"/>
      </w:rPr>
      <w:t xml:space="preserve">                                    </w:t>
    </w:r>
  </w:p>
  <w:p>
    <w:pPr>
      <w:pStyle w:val="13"/>
      <w:numPr>
        <w:ilvl w:val="0"/>
        <w:numId w:val="0"/>
      </w:numPr>
      <w:ind w:left="840" w:leftChars="0"/>
      <w:jc w:val="center"/>
      <w:rPr>
        <w:rFonts w:hint="eastAsia"/>
        <w:sz w:val="36"/>
        <w:szCs w:val="36"/>
        <w:lang w:val="en-US" w:eastAsia="zh-CN"/>
      </w:rPr>
    </w:pPr>
    <w:r>
      <w:rPr>
        <w:rFonts w:ascii="宋体" w:hAnsi="宋体"/>
      </w:rPr>
      <w:drawing>
        <wp:anchor distT="0" distB="0" distL="114300" distR="114300" simplePos="0" relativeHeight="251663360" behindDoc="0" locked="0" layoutInCell="1" allowOverlap="0">
          <wp:simplePos x="0" y="0"/>
          <wp:positionH relativeFrom="column">
            <wp:posOffset>607695</wp:posOffset>
          </wp:positionH>
          <wp:positionV relativeFrom="paragraph">
            <wp:posOffset>38100</wp:posOffset>
          </wp:positionV>
          <wp:extent cx="2426335" cy="542290"/>
          <wp:effectExtent l="0" t="0" r="12065" b="10160"/>
          <wp:wrapNone/>
          <wp:docPr id="8" name="图片 1" descr="C:\Users\Lenovo\AppData\Roaming\Foxmail7\Temp-5432-20170227094126\Attach\31951_31951_3195(02-27-09-4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C:\Users\Lenovo\AppData\Roaming\Foxmail7\Temp-5432-20170227094126\Attach\31951_31951_3195(02-27-09-41-54).jpg"/>
                  <pic:cNvPicPr>
                    <a:picLocks noChangeAspect="1"/>
                  </pic:cNvPicPr>
                </pic:nvPicPr>
                <pic:blipFill>
                  <a:blip r:embed="rId1"/>
                  <a:stretch>
                    <a:fillRect/>
                  </a:stretch>
                </pic:blipFill>
                <pic:spPr>
                  <a:xfrm>
                    <a:off x="0" y="0"/>
                    <a:ext cx="2426335" cy="542290"/>
                  </a:xfrm>
                  <a:prstGeom prst="rect">
                    <a:avLst/>
                  </a:prstGeom>
                  <a:noFill/>
                  <a:ln w="9525">
                    <a:noFill/>
                  </a:ln>
                </pic:spPr>
              </pic:pic>
            </a:graphicData>
          </a:graphic>
        </wp:anchor>
      </w:drawing>
    </w:r>
    <w:r>
      <w:rPr>
        <w:rFonts w:hint="eastAsia"/>
        <w:sz w:val="44"/>
        <w:szCs w:val="44"/>
        <w:lang w:val="en-US" w:eastAsia="zh-CN"/>
      </w:rPr>
      <w:t xml:space="preserve">                                                                                     </w:t>
    </w:r>
    <w:r>
      <w:rPr>
        <w:rFonts w:hint="eastAsia"/>
        <w:sz w:val="36"/>
        <w:szCs w:val="36"/>
        <w:lang w:val="en-US" w:eastAsia="zh-CN"/>
      </w:rPr>
      <w:t xml:space="preserve"> </w:t>
    </w:r>
  </w:p>
  <w:p>
    <w:pPr>
      <w:pStyle w:val="13"/>
      <w:numPr>
        <w:ilvl w:val="0"/>
        <w:numId w:val="0"/>
      </w:numPr>
      <w:ind w:left="840" w:leftChars="0"/>
      <w:jc w:val="center"/>
      <w:rPr>
        <w:rFonts w:hint="eastAsia" w:asciiTheme="majorEastAsia" w:hAnsiTheme="majorEastAsia" w:eastAsiaTheme="majorEastAsia" w:cstheme="majorEastAsia"/>
        <w:sz w:val="24"/>
        <w:szCs w:val="24"/>
      </w:rPr>
    </w:pPr>
    <w:r>
      <w:rPr>
        <w:rFonts w:hint="eastAsia"/>
        <w:sz w:val="36"/>
        <w:szCs w:val="36"/>
        <w:lang w:val="en-US" w:eastAsia="zh-CN"/>
      </w:rPr>
      <w:t xml:space="preserve">                                                                                                                        </w:t>
    </w:r>
    <w:r>
      <w:rPr>
        <w:rFonts w:hint="eastAsia" w:asciiTheme="majorEastAsia" w:hAnsiTheme="majorEastAsia" w:eastAsiaTheme="majorEastAsia" w:cstheme="majorEastAsia"/>
        <w:sz w:val="24"/>
        <w:szCs w:val="24"/>
      </w:rPr>
      <w:t>中移在线服务有限公司</w:t>
    </w:r>
  </w:p>
  <w:p>
    <w:pPr>
      <w:pStyle w:val="13"/>
    </w:pPr>
    <w:r>
      <w:rPr>
        <w:sz w:val="18"/>
      </w:rPr>
      <mc:AlternateContent>
        <mc:Choice Requires="wps">
          <w:drawing>
            <wp:anchor distT="0" distB="0" distL="114300" distR="114300" simplePos="0" relativeHeight="251664384" behindDoc="0" locked="0" layoutInCell="1" allowOverlap="1">
              <wp:simplePos x="0" y="0"/>
              <wp:positionH relativeFrom="column">
                <wp:posOffset>-2033270</wp:posOffset>
              </wp:positionH>
              <wp:positionV relativeFrom="paragraph">
                <wp:posOffset>13970</wp:posOffset>
              </wp:positionV>
              <wp:extent cx="14552930" cy="76200"/>
              <wp:effectExtent l="0" t="0" r="0" b="0"/>
              <wp:wrapNone/>
              <wp:docPr id="9" name="减号 9"/>
              <wp:cNvGraphicFramePr/>
              <a:graphic xmlns:a="http://schemas.openxmlformats.org/drawingml/2006/main">
                <a:graphicData uri="http://schemas.microsoft.com/office/word/2010/wordprocessingShape">
                  <wps:wsp>
                    <wps:cNvSpPr/>
                    <wps:spPr>
                      <a:xfrm>
                        <a:off x="1079500" y="1049655"/>
                        <a:ext cx="14552930" cy="762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60.1pt;margin-top:1.1pt;height:6pt;width:1145.9pt;z-index:251664384;v-text-anchor:middle;mso-width-relative:page;mso-height-relative:page;" fillcolor="#4F81BD [3204]" filled="t" stroked="t" coordsize="14552930,76200" o:gfxdata="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z0mv2QAAAAoBAAAPAAAAAAAAAAEAIAAAACIAAABkcnMvZG93bnJldi54bWxQSwEC&#10;FAAUAAAACACHTuJA+FpQjGUCAADBBAAADgAAAAAAAAABACAAAAAoAQAAZHJzL2Uyb0RvYy54bWxQ&#10;SwUGAAAAAAYABgBZAQAA/wUAAAAA&#10;" path="m1928990,29138l12623939,29138,12623939,47061,1928990,47061xe">
              <v:path o:connectlocs="12623939,38100;7276465,47061;1928990,38100;7276465,29138" o:connectangles="0,82,164,247"/>
              <v:fill on="t" focussize="0,0"/>
              <v:stroke weight="2pt" color="#385D8A [3204]"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8EF61"/>
    <w:multiLevelType w:val="singleLevel"/>
    <w:tmpl w:val="5A28EF61"/>
    <w:lvl w:ilvl="0" w:tentative="0">
      <w:start w:val="1"/>
      <w:numFmt w:val="decimal"/>
      <w:lvlText w:val="%1."/>
      <w:lvlJc w:val="left"/>
      <w:pPr>
        <w:ind w:left="425" w:hanging="425"/>
      </w:pPr>
      <w:rPr>
        <w:rFonts w:hint="default"/>
      </w:rPr>
    </w:lvl>
  </w:abstractNum>
  <w:abstractNum w:abstractNumId="1">
    <w:nsid w:val="5A28FD19"/>
    <w:multiLevelType w:val="singleLevel"/>
    <w:tmpl w:val="5A28FD19"/>
    <w:lvl w:ilvl="0" w:tentative="0">
      <w:start w:val="1"/>
      <w:numFmt w:val="decimal"/>
      <w:lvlText w:val="%1."/>
      <w:lvlJc w:val="left"/>
      <w:pPr>
        <w:ind w:left="425" w:hanging="425"/>
      </w:pPr>
      <w:rPr>
        <w:rFonts w:hint="default"/>
      </w:rPr>
    </w:lvl>
  </w:abstractNum>
  <w:abstractNum w:abstractNumId="2">
    <w:nsid w:val="5A290AB1"/>
    <w:multiLevelType w:val="singleLevel"/>
    <w:tmpl w:val="5A290AB1"/>
    <w:lvl w:ilvl="0" w:tentative="0">
      <w:start w:val="1"/>
      <w:numFmt w:val="decimal"/>
      <w:lvlText w:val="%1."/>
      <w:lvlJc w:val="left"/>
      <w:pPr>
        <w:ind w:left="425" w:hanging="425"/>
      </w:pPr>
      <w:rPr>
        <w:rFonts w:hint="default"/>
      </w:rPr>
    </w:lvl>
  </w:abstractNum>
  <w:abstractNum w:abstractNumId="3">
    <w:nsid w:val="5A290BA3"/>
    <w:multiLevelType w:val="singleLevel"/>
    <w:tmpl w:val="5A290BA3"/>
    <w:lvl w:ilvl="0" w:tentative="0">
      <w:start w:val="1"/>
      <w:numFmt w:val="decimal"/>
      <w:lvlText w:val="%1."/>
      <w:lvlJc w:val="left"/>
      <w:pPr>
        <w:ind w:left="425" w:hanging="425"/>
      </w:pPr>
      <w:rPr>
        <w:rFonts w:hint="default"/>
      </w:rPr>
    </w:lvl>
  </w:abstractNum>
  <w:abstractNum w:abstractNumId="4">
    <w:nsid w:val="5A290ED1"/>
    <w:multiLevelType w:val="singleLevel"/>
    <w:tmpl w:val="5A290ED1"/>
    <w:lvl w:ilvl="0" w:tentative="0">
      <w:start w:val="1"/>
      <w:numFmt w:val="decimal"/>
      <w:lvlText w:val="%1."/>
      <w:lvlJc w:val="left"/>
      <w:pPr>
        <w:ind w:left="425" w:hanging="425"/>
      </w:pPr>
      <w:rPr>
        <w:rFonts w:hint="default"/>
      </w:rPr>
    </w:lvl>
  </w:abstractNum>
  <w:abstractNum w:abstractNumId="5">
    <w:nsid w:val="5A293EBB"/>
    <w:multiLevelType w:val="singleLevel"/>
    <w:tmpl w:val="5A293EBB"/>
    <w:lvl w:ilvl="0" w:tentative="0">
      <w:start w:val="1"/>
      <w:numFmt w:val="decimal"/>
      <w:lvlText w:val="%1."/>
      <w:lvlJc w:val="left"/>
      <w:pPr>
        <w:ind w:left="425" w:hanging="425"/>
      </w:pPr>
      <w:rPr>
        <w:rFonts w:hint="default"/>
      </w:rPr>
    </w:lvl>
  </w:abstractNum>
  <w:abstractNum w:abstractNumId="6">
    <w:nsid w:val="5A2E4B79"/>
    <w:multiLevelType w:val="singleLevel"/>
    <w:tmpl w:val="5A2E4B79"/>
    <w:lvl w:ilvl="0" w:tentative="0">
      <w:start w:val="1"/>
      <w:numFmt w:val="decimal"/>
      <w:lvlText w:val="%1."/>
      <w:lvlJc w:val="left"/>
      <w:pPr>
        <w:ind w:left="425" w:hanging="425"/>
      </w:pPr>
      <w:rPr>
        <w:rFonts w:hint="default"/>
      </w:rPr>
    </w:lvl>
  </w:abstractNum>
  <w:abstractNum w:abstractNumId="7">
    <w:nsid w:val="5A2E51BD"/>
    <w:multiLevelType w:val="singleLevel"/>
    <w:tmpl w:val="5A2E51BD"/>
    <w:lvl w:ilvl="0" w:tentative="0">
      <w:start w:val="1"/>
      <w:numFmt w:val="decimal"/>
      <w:lvlText w:val="%1."/>
      <w:lvlJc w:val="left"/>
      <w:pPr>
        <w:ind w:left="425" w:hanging="425"/>
      </w:pPr>
      <w:rPr>
        <w:rFonts w:hint="default"/>
      </w:rPr>
    </w:lvl>
  </w:abstractNum>
  <w:abstractNum w:abstractNumId="8">
    <w:nsid w:val="5A2E5694"/>
    <w:multiLevelType w:val="singleLevel"/>
    <w:tmpl w:val="5A2E5694"/>
    <w:lvl w:ilvl="0" w:tentative="0">
      <w:start w:val="1"/>
      <w:numFmt w:val="decimal"/>
      <w:lvlText w:val="%1."/>
      <w:lvlJc w:val="left"/>
      <w:pPr>
        <w:ind w:left="425" w:hanging="425"/>
      </w:pPr>
      <w:rPr>
        <w:rFonts w:hint="default"/>
      </w:rPr>
    </w:lvl>
  </w:abstractNum>
  <w:abstractNum w:abstractNumId="9">
    <w:nsid w:val="5A2E59DE"/>
    <w:multiLevelType w:val="singleLevel"/>
    <w:tmpl w:val="5A2E59DE"/>
    <w:lvl w:ilvl="0" w:tentative="0">
      <w:start w:val="1"/>
      <w:numFmt w:val="decimal"/>
      <w:lvlText w:val="%1."/>
      <w:lvlJc w:val="left"/>
      <w:pPr>
        <w:ind w:left="425" w:hanging="425"/>
      </w:pPr>
      <w:rPr>
        <w:rFonts w:hint="default"/>
      </w:rPr>
    </w:lvl>
  </w:abstractNum>
  <w:abstractNum w:abstractNumId="10">
    <w:nsid w:val="5A2E5E29"/>
    <w:multiLevelType w:val="singleLevel"/>
    <w:tmpl w:val="5A2E5E29"/>
    <w:lvl w:ilvl="0" w:tentative="0">
      <w:start w:val="1"/>
      <w:numFmt w:val="decimal"/>
      <w:lvlText w:val="%1."/>
      <w:lvlJc w:val="left"/>
      <w:pPr>
        <w:ind w:left="425" w:hanging="425"/>
      </w:pPr>
      <w:rPr>
        <w:rFonts w:hint="default"/>
      </w:rPr>
    </w:lvl>
  </w:abstractNum>
  <w:abstractNum w:abstractNumId="11">
    <w:nsid w:val="5A2E5F60"/>
    <w:multiLevelType w:val="multilevel"/>
    <w:tmpl w:val="5A2E5F60"/>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11"/>
  </w:num>
  <w:num w:numId="2">
    <w:abstractNumId w:val="0"/>
  </w:num>
  <w:num w:numId="3">
    <w:abstractNumId w:val="3"/>
  </w:num>
  <w:num w:numId="4">
    <w:abstractNumId w:val="4"/>
  </w:num>
  <w:num w:numId="5">
    <w:abstractNumId w:val="2"/>
  </w:num>
  <w:num w:numId="6">
    <w:abstractNumId w:val="1"/>
  </w:num>
  <w:num w:numId="7">
    <w:abstractNumId w:val="6"/>
  </w:num>
  <w:num w:numId="8">
    <w:abstractNumId w:val="5"/>
  </w:num>
  <w:num w:numId="9">
    <w:abstractNumId w:val="7"/>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15525"/>
    <w:rsid w:val="03A603FD"/>
    <w:rsid w:val="04C90E1A"/>
    <w:rsid w:val="04E419AD"/>
    <w:rsid w:val="05F60EBE"/>
    <w:rsid w:val="06D87AFD"/>
    <w:rsid w:val="083448A2"/>
    <w:rsid w:val="08C0586C"/>
    <w:rsid w:val="09F02C14"/>
    <w:rsid w:val="09F61B61"/>
    <w:rsid w:val="0A473833"/>
    <w:rsid w:val="0F3E7EE0"/>
    <w:rsid w:val="0FD54636"/>
    <w:rsid w:val="118974DB"/>
    <w:rsid w:val="12AE5E9D"/>
    <w:rsid w:val="12D048F2"/>
    <w:rsid w:val="13E6797E"/>
    <w:rsid w:val="174C31C2"/>
    <w:rsid w:val="18E322C2"/>
    <w:rsid w:val="1B21663B"/>
    <w:rsid w:val="1BFA41E3"/>
    <w:rsid w:val="1D290ED7"/>
    <w:rsid w:val="1DE24AAC"/>
    <w:rsid w:val="26E24319"/>
    <w:rsid w:val="26F50DBF"/>
    <w:rsid w:val="2996720D"/>
    <w:rsid w:val="2B085292"/>
    <w:rsid w:val="2D0D0FA2"/>
    <w:rsid w:val="2DA843D9"/>
    <w:rsid w:val="2DDA31A0"/>
    <w:rsid w:val="3012514E"/>
    <w:rsid w:val="31F65E18"/>
    <w:rsid w:val="33482B2D"/>
    <w:rsid w:val="33D250B4"/>
    <w:rsid w:val="37F059FB"/>
    <w:rsid w:val="38830C8D"/>
    <w:rsid w:val="395A56AA"/>
    <w:rsid w:val="3A3726C8"/>
    <w:rsid w:val="3A620037"/>
    <w:rsid w:val="3C0A7C04"/>
    <w:rsid w:val="3C4B30E5"/>
    <w:rsid w:val="3E497B0C"/>
    <w:rsid w:val="3ED67123"/>
    <w:rsid w:val="3F4B66B5"/>
    <w:rsid w:val="3F8B7028"/>
    <w:rsid w:val="412352C6"/>
    <w:rsid w:val="4173300A"/>
    <w:rsid w:val="431960F6"/>
    <w:rsid w:val="44B312DE"/>
    <w:rsid w:val="45314052"/>
    <w:rsid w:val="45464CD3"/>
    <w:rsid w:val="485F6059"/>
    <w:rsid w:val="49E43F7D"/>
    <w:rsid w:val="4AB56EBE"/>
    <w:rsid w:val="4BBA44D6"/>
    <w:rsid w:val="4C937894"/>
    <w:rsid w:val="4CAF5905"/>
    <w:rsid w:val="4D2B58AC"/>
    <w:rsid w:val="4EAD5D48"/>
    <w:rsid w:val="502672C8"/>
    <w:rsid w:val="55871288"/>
    <w:rsid w:val="55B81DD6"/>
    <w:rsid w:val="5638739B"/>
    <w:rsid w:val="584B38F0"/>
    <w:rsid w:val="58806CDB"/>
    <w:rsid w:val="59F8551C"/>
    <w:rsid w:val="5B5E3616"/>
    <w:rsid w:val="5C59347A"/>
    <w:rsid w:val="5D695BAA"/>
    <w:rsid w:val="5D750AAC"/>
    <w:rsid w:val="5EA443F8"/>
    <w:rsid w:val="5F080037"/>
    <w:rsid w:val="60AE3B82"/>
    <w:rsid w:val="638342A2"/>
    <w:rsid w:val="63A86A39"/>
    <w:rsid w:val="646B3EB4"/>
    <w:rsid w:val="65B30F8C"/>
    <w:rsid w:val="65C76A33"/>
    <w:rsid w:val="660A484F"/>
    <w:rsid w:val="66FF6F2F"/>
    <w:rsid w:val="67F96E37"/>
    <w:rsid w:val="695A3C46"/>
    <w:rsid w:val="697B35C5"/>
    <w:rsid w:val="6A5D6E66"/>
    <w:rsid w:val="6A87465A"/>
    <w:rsid w:val="6A900873"/>
    <w:rsid w:val="6B1010A6"/>
    <w:rsid w:val="6B2F15F0"/>
    <w:rsid w:val="6B904A9A"/>
    <w:rsid w:val="6BBF616E"/>
    <w:rsid w:val="6CF2409F"/>
    <w:rsid w:val="6E9B2BDE"/>
    <w:rsid w:val="6FD96484"/>
    <w:rsid w:val="6FEE2223"/>
    <w:rsid w:val="700A61B5"/>
    <w:rsid w:val="70CB0EEA"/>
    <w:rsid w:val="715C6AD3"/>
    <w:rsid w:val="71F65A4F"/>
    <w:rsid w:val="72C01157"/>
    <w:rsid w:val="73431C2A"/>
    <w:rsid w:val="7437480A"/>
    <w:rsid w:val="76220914"/>
    <w:rsid w:val="771F4D8C"/>
    <w:rsid w:val="78330055"/>
    <w:rsid w:val="78DF4138"/>
    <w:rsid w:val="7A1B10E3"/>
    <w:rsid w:val="7AD53BA7"/>
    <w:rsid w:val="7B0C1F34"/>
    <w:rsid w:val="7CA75768"/>
    <w:rsid w:val="7D2F1B52"/>
    <w:rsid w:val="7D6111EE"/>
    <w:rsid w:val="7E2A5070"/>
    <w:rsid w:val="7ECB68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0" w:firstLine="0"/>
      <w:outlineLvl w:val="0"/>
    </w:pPr>
    <w:rPr>
      <w:b/>
      <w:kern w:val="44"/>
      <w:sz w:val="44"/>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413" w:lineRule="auto"/>
      <w:ind w:left="0" w:firstLine="0"/>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0" w:firstLine="400"/>
      <w:outlineLvl w:val="2"/>
    </w:pPr>
    <w:rPr>
      <w:b/>
      <w:sz w:val="32"/>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0" w:firstLine="402"/>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0" w:firstLine="402"/>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0" w:firstLine="402"/>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0" w:firstLine="402"/>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0" w:firstLine="402"/>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0" w:firstLine="402"/>
      <w:outlineLvl w:val="8"/>
    </w:pPr>
    <w:rPr>
      <w:rFonts w:ascii="Arial" w:hAnsi="Arial" w:eastAsia="黑体"/>
      <w:sz w:val="21"/>
    </w:rPr>
  </w:style>
  <w:style w:type="character" w:default="1" w:styleId="17">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widowControl/>
      <w:spacing w:before="120" w:after="120"/>
      <w:jc w:val="left"/>
    </w:pPr>
    <w:rPr>
      <w:b/>
      <w:kern w:val="0"/>
      <w:sz w:val="20"/>
      <w:szCs w:val="20"/>
      <w:lang w:val="en-AU" w:eastAsia="en-US"/>
    </w:rPr>
  </w:style>
  <w:style w:type="paragraph" w:styleId="12">
    <w:name w:val="footer"/>
    <w:basedOn w:val="1"/>
    <w:unhideWhenUsed/>
    <w:qFormat/>
    <w:uiPriority w:val="99"/>
    <w:pPr>
      <w:tabs>
        <w:tab w:val="center" w:pos="4153"/>
        <w:tab w:val="right" w:pos="8306"/>
      </w:tabs>
      <w:snapToGrid w:val="0"/>
      <w:jc w:val="left"/>
    </w:pPr>
    <w:rPr>
      <w:rFonts w:asciiTheme="minorAscii" w:hAnsiTheme="minorAscii"/>
      <w:sz w:val="18"/>
      <w:szCs w:val="18"/>
    </w:rPr>
  </w:style>
  <w:style w:type="paragraph" w:styleId="1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Body Text 2"/>
    <w:basedOn w:val="1"/>
    <w:unhideWhenUsed/>
    <w:qFormat/>
    <w:uiPriority w:val="99"/>
    <w:pPr>
      <w:spacing w:after="120" w:line="480" w:lineRule="auto"/>
    </w:pPr>
  </w:style>
  <w:style w:type="character" w:styleId="18">
    <w:name w:val="page number"/>
    <w:basedOn w:val="17"/>
    <w:unhideWhenUsed/>
    <w:qFormat/>
    <w:uiPriority w:val="99"/>
  </w:style>
  <w:style w:type="paragraph" w:customStyle="1" w:styleId="20">
    <w:name w:val="发布实施"/>
    <w:basedOn w:val="21"/>
    <w:semiHidden/>
    <w:qFormat/>
    <w:uiPriority w:val="0"/>
  </w:style>
  <w:style w:type="paragraph" w:customStyle="1" w:styleId="21">
    <w:name w:val="封面版本号"/>
    <w:basedOn w:val="16"/>
    <w:semiHidden/>
    <w:qFormat/>
    <w:uiPriority w:val="0"/>
    <w:pPr>
      <w:spacing w:after="0" w:line="240" w:lineRule="auto"/>
      <w:jc w:val="center"/>
    </w:pPr>
    <w:rPr>
      <w:rFonts w:ascii="黑体" w:eastAsia="黑体"/>
      <w:b/>
      <w:spacing w:val="40"/>
      <w:sz w:val="24"/>
      <w:szCs w:val="20"/>
    </w:rPr>
  </w:style>
  <w:style w:type="paragraph" w:customStyle="1" w:styleId="22">
    <w:name w:val="封面公司名称"/>
    <w:basedOn w:val="1"/>
    <w:qFormat/>
    <w:uiPriority w:val="0"/>
    <w:rPr>
      <w:rFonts w:ascii="黑体" w:eastAsia="黑体"/>
      <w:b/>
      <w:sz w:val="36"/>
      <w:szCs w:val="20"/>
    </w:rPr>
  </w:style>
  <w:style w:type="paragraph" w:customStyle="1" w:styleId="23">
    <w:name w:val="标准编号"/>
    <w:basedOn w:val="1"/>
    <w:qFormat/>
    <w:uiPriority w:val="0"/>
    <w:pPr>
      <w:jc w:val="center"/>
    </w:pPr>
    <w:rPr>
      <w:rFonts w:ascii="黑体" w:eastAsia="黑体"/>
      <w:b/>
      <w:sz w:val="30"/>
      <w:szCs w:val="20"/>
    </w:r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bodyPr rot="0" vertOverflow="overflow" horzOverflow="overflow" vert="horz" wrap="square" lIns="91440" tIns="45720" rIns="91440" bIns="45720" numCol="1" spcCol="0" rtlCol="0" fromWordArt="0" anchor="t" anchorCtr="0" forceAA="0" compatLnSpc="1">
        <a:noAutofit/>
      </a:bodyPr>
      <a:lstStyle/>
      <a:style>
        <a:lnRef idx="2">
          <a:schemeClr val="dk1"/>
        </a:lnRef>
        <a:fillRef idx="1">
          <a:schemeClr val="lt1"/>
        </a:fillRef>
        <a:effectRef idx="0">
          <a:schemeClr val="dk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2017-12-06T11:14:00Z</dcterms:created>
  <dc:creator>Windows User</dc:creator>
  <cp:lastModifiedBy>Administrator</cp:lastModifiedBy>
  <dcterms:modified xsi:type="dcterms:W3CDTF">2018-04-11T03:28:08Z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