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40"/>
        <w:jc w:val="left"/>
      </w:pPr>
      <w:r>
        <w:rPr>
          <w:rFonts w:ascii="SimHei" w:cs="SimHei" w:eastAsia="SimHei" w:hAnsi="SimHei"/>
          <w:b/>
          <w:bCs/>
          <w:sz w:val="32"/>
          <w:szCs w:val="32"/>
        </w:rPr>
        <w:t xml:space="preserve">第六章  实证研究</w:t>
      </w:r>
    </w:p>
    <w:p>
      <w:pPr>
        <w:spacing w:before="0" w:after="80"/>
      </w:pPr>
      <w:r>
        <w:t xml:space="preserve"/>
      </w:r>
    </w:p>
    <w:p>
      <w:pPr>
        <w:pStyle w:val="Heading2"/>
        <w:spacing w:before="280" w:after="180"/>
        <w:jc w:val="left"/>
      </w:pPr>
      <w:r>
        <w:rPr>
          <w:rFonts w:ascii="SimHei" w:cs="SimHei" w:eastAsia="SimHei" w:hAnsi="SimHei"/>
          <w:b/>
          <w:bCs/>
          <w:sz w:val="28"/>
          <w:szCs w:val="28"/>
        </w:rPr>
        <w:t xml:space="preserve">6.1  变量选取与数据说明</w:t>
      </w:r>
    </w:p>
    <w:p>
      <w:pPr>
        <w:spacing w:before="0" w:after="80"/>
      </w:pPr>
      <w:r>
        <w:t xml:space="preserve"/>
      </w:r>
    </w:p>
    <w:p>
      <w:pPr>
        <w:pStyle w:val="Heading3"/>
        <w:spacing w:before="200" w:after="140"/>
        <w:jc w:val="left"/>
      </w:pPr>
      <w:r>
        <w:rPr>
          <w:rFonts w:ascii="SimHei" w:cs="SimHei" w:eastAsia="SimHei" w:hAnsi="SimHei"/>
          <w:b/>
          <w:bCs/>
          <w:sz w:val="26"/>
          <w:szCs w:val="26"/>
        </w:rPr>
        <w:t xml:space="preserve">6.1.1  研究样本</w:t>
      </w:r>
    </w:p>
    <w:p>
      <w:pPr>
        <w:spacing w:before="0" w:after="160" w:line="360"/>
        <w:jc w:val="both"/>
      </w:pPr>
      <w:r>
        <w:rPr>
          <w:rFonts w:ascii="SimSun" w:cs="SimSun" w:eastAsia="SimSun" w:hAnsi="SimSun"/>
          <w:sz w:val="24"/>
          <w:szCs w:val="24"/>
        </w:rPr>
        <w:t xml:space="preserve">本章实证分析以中国大陆31个省级行政单位（省、自治区、直辖市）为研究对象，时间范围为2008—2017年，共构成310个平衡面板观测值。样本起点选取2008年，原因在于固定资产投资省级分类数据自该年起完整可得，是构建资本存量的必要条件；样本终点定为2017年，源于国家统计局自2018年起调整固定资产投资统计口径，停止发布可比的分省数据，现有数据无法向后延伸。</w:t>
      </w:r>
    </w:p>
    <w:p>
      <w:pPr>
        <w:spacing w:before="0" w:after="160" w:line="360"/>
        <w:jc w:val="both"/>
      </w:pPr>
      <w:r>
        <w:rPr>
          <w:rFonts w:ascii="SimSun" w:cs="SimSun" w:eastAsia="SimSun" w:hAnsi="SimSun"/>
          <w:sz w:val="24"/>
          <w:szCs w:val="24"/>
        </w:rPr>
        <w:t xml:space="preserve">值得注意的是，2018年恰好是中国公务员考试报录比开始加速攀升的历史节点——2017年后国考竞争比持续突破历史峰值，多个热门岗位报录比超过数千比一。这一现象与样本边界的高度重叠并非偶然：政府在经济数据最敏感的阶段调整统计口径，客观上造成了"挤出效应最严重的时期，可用数据反而缺失"的困境。这一系统性局限将在第七章局限性部分进一步讨论。</w:t>
      </w:r>
    </w:p>
    <w:p>
      <w:pPr>
        <w:spacing w:before="0" w:after="80"/>
      </w:pPr>
      <w:r>
        <w:t xml:space="preserve"/>
      </w:r>
    </w:p>
    <w:p>
      <w:pPr>
        <w:pStyle w:val="Heading3"/>
        <w:spacing w:before="200" w:after="140"/>
        <w:jc w:val="left"/>
      </w:pPr>
      <w:r>
        <w:rPr>
          <w:rFonts w:ascii="SimHei" w:cs="SimHei" w:eastAsia="SimHei" w:hAnsi="SimHei"/>
          <w:b/>
          <w:bCs/>
          <w:sz w:val="26"/>
          <w:szCs w:val="26"/>
        </w:rPr>
        <w:t xml:space="preserve">6.1.2  因变量：全要素生产率（TFP）</w:t>
      </w:r>
    </w:p>
    <w:p>
      <w:pPr>
        <w:spacing w:before="0" w:after="160" w:line="360"/>
        <w:jc w:val="both"/>
      </w:pPr>
      <w:r>
        <w:rPr>
          <w:rFonts w:ascii="SimSun" w:cs="SimSun" w:eastAsia="SimSun" w:hAnsi="SimSun"/>
          <w:sz w:val="24"/>
          <w:szCs w:val="24"/>
        </w:rPr>
        <w:t xml:space="preserve">本文采用索洛残差法（Solow Residual）估算省级全要素生产率，该方法基于新古典生产函数，将GDP增长中不能被资本与劳动投入解释的部分归因于技术进步与配置效率的综合提升。具体步骤如下：</w:t>
      </w:r>
    </w:p>
    <w:p>
      <w:pPr>
        <w:spacing w:before="0" w:after="160" w:line="360"/>
        <w:jc w:val="both"/>
      </w:pPr>
      <w:r>
        <w:rPr>
          <w:rFonts w:ascii="SimSun" w:cs="SimSun" w:eastAsia="SimSun" w:hAnsi="SimSun"/>
          <w:sz w:val="24"/>
          <w:szCs w:val="24"/>
        </w:rPr>
        <w:t xml:space="preserve">第一步，采用永续盘存法（Perpetual Inventory Method）估算各省实际资本存量。折旧率设定为δ=0.096，参考张军等（2004）对中国省级资本折旧的估算；以各省2008年固定资产投资额除以（投资平均增速g+折旧率δ）作为2007年初始资本存量，其中g=0.161为2008—2017年各省固定资产投资的平均年增速；此后逐年递推：K_t = (1−δ)×K_(t−1) + I_t。</w:t>
      </w:r>
    </w:p>
    <w:p>
      <w:pPr>
        <w:spacing w:before="0" w:after="160" w:line="360"/>
        <w:jc w:val="both"/>
      </w:pPr>
      <w:r>
        <w:rPr>
          <w:rFonts w:ascii="SimSun" w:cs="SimSun" w:eastAsia="SimSun" w:hAnsi="SimSun"/>
          <w:sz w:val="24"/>
          <w:szCs w:val="24"/>
        </w:rPr>
        <w:t xml:space="preserve">第二步，劳动投入采用各省城镇单位就业人员与私营个体就业人员之和（单位：万人），数据来源于《中国劳动统计年鉴》。</w:t>
      </w:r>
    </w:p>
    <w:p>
      <w:pPr>
        <w:spacing w:before="0" w:after="160" w:line="360"/>
        <w:jc w:val="both"/>
      </w:pPr>
      <w:r>
        <w:rPr>
          <w:rFonts w:ascii="SimSun" w:cs="SimSun" w:eastAsia="SimSun" w:hAnsi="SimSun"/>
          <w:sz w:val="24"/>
          <w:szCs w:val="24"/>
        </w:rPr>
        <w:t xml:space="preserve">第三步，采用如下索洛残差公式计算TFP：</w:t>
      </w:r>
    </w:p>
    <w:p>
      <w:pPr>
        <w:spacing w:before="120" w:after="120"/>
        <w:jc w:val="center"/>
      </w:pPr>
      <w:r>
        <w:rPr>
          <w:rFonts w:ascii="SimSun" w:cs="SimSun" w:eastAsia="SimSun" w:hAnsi="SimSun"/>
          <w:i/>
          <w:iCs/>
          <w:sz w:val="24"/>
          <w:szCs w:val="24"/>
        </w:rPr>
        <w:t xml:space="preserve">ln(TFP_it) = ln(GDP_it) − α·ln(K_it) − (1−α)·ln(L_it)</w:t>
      </w:r>
    </w:p>
    <w:p>
      <w:pPr>
        <w:spacing w:before="0" w:after="160" w:line="360"/>
        <w:jc w:val="both"/>
      </w:pPr>
      <w:r>
        <w:rPr>
          <w:rFonts w:ascii="SimSun" w:cs="SimSun" w:eastAsia="SimSun" w:hAnsi="SimSun"/>
          <w:sz w:val="24"/>
          <w:szCs w:val="24"/>
        </w:rPr>
        <w:t xml:space="preserve">其中α=0.5为资本产出弹性，符合中国宏观经济文献的惯用设定（Hall &amp; Jones, 1999；单豪杰, 2008）。GDP以亿元为单位，与资本存量保持一致口径。ln(TFP)即为本文因变量。</w:t>
      </w:r>
    </w:p>
    <w:p>
      <w:pPr>
        <w:spacing w:before="0" w:after="160" w:line="360"/>
        <w:jc w:val="both"/>
      </w:pPr>
      <w:r>
        <w:rPr>
          <w:rFonts w:ascii="SimSun" w:cs="SimSun" w:eastAsia="SimSun" w:hAnsi="SimSun"/>
          <w:sz w:val="24"/>
          <w:szCs w:val="24"/>
        </w:rPr>
        <w:t xml:space="preserve">稳健性检验中，将α替换为0.4，结论保持不变（见6.2.4节）。</w:t>
      </w:r>
    </w:p>
    <w:p>
      <w:pPr>
        <w:spacing w:before="0" w:after="80"/>
      </w:pPr>
      <w:r>
        <w:t xml:space="preserve"/>
      </w:r>
    </w:p>
    <w:p>
      <w:pPr>
        <w:pStyle w:val="Heading3"/>
        <w:spacing w:before="200" w:after="140"/>
        <w:jc w:val="left"/>
      </w:pPr>
      <w:r>
        <w:rPr>
          <w:rFonts w:ascii="SimHei" w:cs="SimHei" w:eastAsia="SimHei" w:hAnsi="SimHei"/>
          <w:b/>
          <w:bCs/>
          <w:sz w:val="26"/>
          <w:szCs w:val="26"/>
        </w:rPr>
        <w:t xml:space="preserve">6.1.3  核心自变量</w:t>
      </w:r>
    </w:p>
    <w:p>
      <w:pPr>
        <w:spacing w:before="0" w:after="160" w:line="360"/>
        <w:jc w:val="both"/>
      </w:pPr>
      <w:r>
        <w:rPr>
          <w:rFonts w:ascii="SimSun" w:cs="SimSun" w:eastAsia="SimSun" w:hAnsi="SimSun"/>
          <w:sz w:val="24"/>
          <w:szCs w:val="24"/>
        </w:rPr>
        <w:t xml:space="preserve">（1）公共部门就业占比（pub_emp_share2）：以各省城镇单位就业人员数除以城镇单位就业人员与私营个体就业人员之和，作为公共部门对劳动力市场的占用程度代理指标。该指标刻画的是正规城镇就业市场中"体制内"岗位的结构性比重，数据来源于《中国劳动统计年鉴》。需要特别说明的是，该指标存在系统性测量局限：全职备考（公务员考试、事业单位考试）而退出劳动力市场的群体，既不计入公共部门分子，亦不计入私营就业分母，从数据中完全消失。2017年后这一群体规模急剧扩大，恰与数据截止年份重合，构成本研究最核心的外部效度挑战（详见6.2.5节）。</w:t>
      </w:r>
    </w:p>
    <w:p>
      <w:pPr>
        <w:spacing w:before="0" w:after="160" w:line="360"/>
        <w:jc w:val="both"/>
      </w:pPr>
      <w:r>
        <w:rPr>
          <w:rFonts w:ascii="SimSun" w:cs="SimSun" w:eastAsia="SimSun" w:hAnsi="SimSun"/>
          <w:sz w:val="24"/>
          <w:szCs w:val="24"/>
        </w:rPr>
        <w:t xml:space="preserve">（2）广义税负（broad_tax_burden）：以各省一般公共预算支出除以GDP（×100，以百分比计），遵循奥地利经济学派"政府支出即税收"的分析框架——无论资金来源为税收、举债还是转移支付，政府支出本质上均是对私人部门资源的调用。该口径较官方税收/GDP指标（约15%—17%）更能反映真实的资源占用程度（约25%—45%）。西藏广义税负超过100%，反映中央财政转移支付规模远超本地GDP的特殊性，主回归提供剔除西藏的稳健性模型。数据来源：2007年起采用EPS社会数据平台一般公共预算支出数据；2005—2006年衔接旧口径财政支出数据。</w:t>
      </w:r>
    </w:p>
    <w:p>
      <w:pPr>
        <w:spacing w:before="0" w:after="160" w:line="360"/>
        <w:jc w:val="both"/>
      </w:pPr>
      <w:r>
        <w:rPr>
          <w:rFonts w:ascii="SimSun" w:cs="SimSun" w:eastAsia="SimSun" w:hAnsi="SimSun"/>
          <w:sz w:val="24"/>
          <w:szCs w:val="24"/>
        </w:rPr>
        <w:t xml:space="preserve">（3）人口老龄化率（aging_rate）：以各省65岁及以上人口占总人口比例衡量，数据来源于《中国人口与就业统计年鉴》及国家统计局省级分年度数据。</w:t>
      </w:r>
    </w:p>
    <w:p>
      <w:pPr>
        <w:spacing w:before="0" w:after="80"/>
      </w:pPr>
      <w:r>
        <w:t xml:space="preserve"/>
      </w:r>
    </w:p>
    <w:p>
      <w:pPr>
        <w:pStyle w:val="Heading3"/>
        <w:spacing w:before="200" w:after="140"/>
        <w:jc w:val="left"/>
      </w:pPr>
      <w:r>
        <w:rPr>
          <w:rFonts w:ascii="SimHei" w:cs="SimHei" w:eastAsia="SimHei" w:hAnsi="SimHei"/>
          <w:b/>
          <w:bCs/>
          <w:sz w:val="26"/>
          <w:szCs w:val="26"/>
        </w:rPr>
        <w:t xml:space="preserve">6.1.4  中介变量与控制变量</w:t>
      </w:r>
    </w:p>
    <w:p>
      <w:pPr>
        <w:spacing w:before="0" w:after="160" w:line="360"/>
        <w:jc w:val="both"/>
      </w:pPr>
      <w:r>
        <w:rPr>
          <w:rFonts w:ascii="SimSun" w:cs="SimSun" w:eastAsia="SimSun" w:hAnsi="SimSun"/>
          <w:sz w:val="24"/>
          <w:szCs w:val="24"/>
        </w:rPr>
        <w:t xml:space="preserve">中介变量采用各省发明及实用新型专利申请量的对数（ln_patent_apps），用以检验制度约束通过抑制创新活动进而损害TFP的传导路径（H2）。数据来源于国家知识产权局。</w:t>
      </w:r>
    </w:p>
    <w:p>
      <w:pPr>
        <w:spacing w:before="0" w:after="160" w:line="360"/>
        <w:jc w:val="both"/>
      </w:pPr>
      <w:r>
        <w:rPr>
          <w:rFonts w:ascii="SimSun" w:cs="SimSun" w:eastAsia="SimSun" w:hAnsi="SimSun"/>
          <w:sz w:val="24"/>
          <w:szCs w:val="24"/>
        </w:rPr>
        <w:t xml:space="preserve">控制变量包括：城镇化率（urban_rate）、第二产业占GDP比重（sec_ind_share）、贸易开放度（trade_openness，进出口总额/GDP）。上述变量旨在控制省份间经济结构差异对TFP的独立影响。考虑到TFP本身由GDP计算得来，回归方程中不再纳入人均GDP，以避免机械性共线关系。</w:t>
      </w:r>
    </w:p>
    <w:p>
      <w:pPr>
        <w:spacing w:before="0" w:after="80"/>
      </w:pPr>
      <w:r>
        <w:t xml:space="preserve"/>
      </w:r>
    </w:p>
    <w:p>
      <w:pPr>
        <w:pStyle w:val="Heading3"/>
        <w:spacing w:before="200" w:after="140"/>
        <w:jc w:val="left"/>
      </w:pPr>
      <w:r>
        <w:rPr>
          <w:rFonts w:ascii="SimHei" w:cs="SimHei" w:eastAsia="SimHei" w:hAnsi="SimHei"/>
          <w:b/>
          <w:bCs/>
          <w:sz w:val="26"/>
          <w:szCs w:val="26"/>
        </w:rPr>
        <w:t xml:space="preserve">6.1.5  描述性统计</w:t>
      </w:r>
    </w:p>
    <w:p>
      <w:pPr>
        <w:spacing w:before="0" w:after="160" w:line="360"/>
        <w:jc w:val="both"/>
      </w:pPr>
      <w:r>
        <w:rPr>
          <w:rFonts w:ascii="SimSun" w:cs="SimSun" w:eastAsia="SimSun" w:hAnsi="SimSun"/>
          <w:sz w:val="24"/>
          <w:szCs w:val="24"/>
        </w:rPr>
        <w:t xml:space="preserve">表6-1报告了主要变量在2008—2017年样本期内的描述性统计。</w:t>
      </w:r>
    </w:p>
    <w:p>
      <w:pPr>
        <w:spacing w:before="0" w:after="80"/>
      </w:pPr>
      <w:r>
        <w:t xml:space="preserve"/>
      </w:r>
    </w:p>
    <w:p>
      <w:pPr>
        <w:jc w:val="center"/>
      </w:pPr>
      <w:r>
        <w:rPr>
          <w:rFonts w:ascii="SimHei" w:cs="SimHei" w:eastAsia="SimHei" w:hAnsi="SimHei"/>
          <w:b/>
          <w:bCs/>
          <w:sz w:val="22"/>
          <w:szCs w:val="22"/>
        </w:rPr>
        <w:t xml:space="preserve">表6-1  主要变量描述性统计（2008—2017年，N=310）</w:t>
      </w:r>
    </w:p>
    <w:p>
      <w:pPr>
        <w:spacing w:before="0" w:after="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900"/>
        <w:gridCol w:w="900"/>
        <w:gridCol w:w="900"/>
        <w:gridCol w:w="900"/>
      </w:tblGrid>
      <w:tr>
        <w:trPr>
          <w:tblHeader/>
        </w:trP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left"/>
            </w:pPr>
            <w:r>
              <w:rPr>
                <w:rFonts w:ascii="SimSun" w:cs="SimSun" w:eastAsia="SimSun" w:hAnsi="SimSun"/>
                <w:b/>
                <w:bCs/>
                <w:sz w:val="20"/>
                <w:szCs w:val="20"/>
              </w:rPr>
              <w:t xml:space="preserve">变量</w:t>
            </w:r>
          </w:p>
        </w:tc>
        <w:tc>
          <w:tcPr>
            <w:tcW w:type="dxa" w:w="2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left"/>
            </w:pPr>
            <w:r>
              <w:rPr>
                <w:rFonts w:ascii="SimSun" w:cs="SimSun" w:eastAsia="SimSun" w:hAnsi="SimSun"/>
                <w:b/>
                <w:bCs/>
                <w:sz w:val="20"/>
                <w:szCs w:val="20"/>
              </w:rPr>
              <w:t xml:space="preserve">含义</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均值</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标准差</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最小值</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最大值</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ln_tfp</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ln(TFP)，索洛残差</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0.730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0.212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0.217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1.281</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pub_emp_share2</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公共部门就业占比</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0.439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0.085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0.250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0.665</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broad_tax_burden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广义税负（%）</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27.65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19.89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9.85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132.62</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aging_rate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老龄化率（%）</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9.52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1.98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4.82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14.28</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ln_patent_apps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ln(专利申请量)</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8.87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1.69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3.66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12.14</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urban_rate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城镇化率（%）</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54.12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14.11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21.90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89.60</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sec_ind_share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第二产业占比（%）</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45.99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8.45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19.01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61.50</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trade_openness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贸易开放度（%）</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29.63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33.34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1.77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155.08</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ln_capital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ln(资本存量)</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10.58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1.01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7.24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12.54</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ln_labor</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ln(劳动投入)</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6.77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0.92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3.91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8.72</w:t>
            </w:r>
          </w:p>
        </w:tc>
      </w:tr>
    </w:tbl>
    <w:p>
      <w:pPr>
        <w:spacing w:before="0" w:after="120" w:line="300"/>
        <w:jc w:val="both"/>
      </w:pPr>
      <w:r>
        <w:rPr>
          <w:rFonts w:ascii="SimSun" w:cs="SimSun" w:eastAsia="SimSun" w:hAnsi="SimSun"/>
          <w:i/>
          <w:iCs/>
          <w:color w:val="444444"/>
          <w:sz w:val="20"/>
          <w:szCs w:val="20"/>
        </w:rPr>
        <w:t xml:space="preserve">注：广义税负最大值出现在西藏（最高达132.6%），反映中央财政转移支付的特殊性，主回归提供剔除西藏的稳健性检验。劳动投入仅覆盖城镇正规就业，不含农村从业人员及全职备考群体。</w:t>
      </w:r>
    </w:p>
    <w:p>
      <w:pPr>
        <w:spacing w:before="0" w:after="80"/>
      </w:pPr>
      <w:r>
        <w:t xml:space="preserve"/>
      </w:r>
    </w:p>
    <w:p>
      <w:pPr>
        <w:spacing w:before="0" w:after="160" w:line="360"/>
        <w:jc w:val="both"/>
      </w:pPr>
      <w:r>
        <w:rPr>
          <w:rFonts w:ascii="SimSun" w:cs="SimSun" w:eastAsia="SimSun" w:hAnsi="SimSun"/>
          <w:sz w:val="24"/>
          <w:szCs w:val="24"/>
        </w:rPr>
        <w:t xml:space="preserve">相关系数矩阵显示，ln(TFP)与广义税负之间存在显著负相关（r=−0.527，p&lt;0.05），与专利申请量正相关（r=0.523，p&lt;0.05）；广义税负与专利申请量高度负相关（r=−0.667，p&lt;0.05），初步支持"高税负抑制创新"的理论预期。ln(TFP)与公共部门就业占比的相关系数为+0.193，方向与H1预期相悖，这一异常将在回归分析中予以深入讨论。</w:t>
      </w:r>
    </w:p>
    <w:p>
      <w:pPr>
        <w:spacing w:before="0" w:after="80"/>
      </w:pPr>
      <w:r>
        <w:t xml:space="preserve"/>
      </w:r>
    </w:p>
    <w:p>
      <w:pPr>
        <w:pStyle w:val="Heading2"/>
        <w:spacing w:before="280" w:after="180"/>
        <w:jc w:val="left"/>
      </w:pPr>
      <w:r>
        <w:rPr>
          <w:rFonts w:ascii="SimHei" w:cs="SimHei" w:eastAsia="SimHei" w:hAnsi="SimHei"/>
          <w:b/>
          <w:bCs/>
          <w:sz w:val="28"/>
          <w:szCs w:val="28"/>
        </w:rPr>
        <w:t xml:space="preserve">6.2  假设验证</w:t>
      </w:r>
    </w:p>
    <w:p>
      <w:pPr>
        <w:spacing w:before="0" w:after="80"/>
      </w:pPr>
      <w:r>
        <w:t xml:space="preserve"/>
      </w:r>
    </w:p>
    <w:p>
      <w:pPr>
        <w:pStyle w:val="Heading3"/>
        <w:spacing w:before="200" w:after="140"/>
        <w:jc w:val="left"/>
      </w:pPr>
      <w:r>
        <w:rPr>
          <w:rFonts w:ascii="SimHei" w:cs="SimHei" w:eastAsia="SimHei" w:hAnsi="SimHei"/>
          <w:b/>
          <w:bCs/>
          <w:sz w:val="26"/>
          <w:szCs w:val="26"/>
        </w:rPr>
        <w:t xml:space="preserve">6.2.1  模型设定</w:t>
      </w:r>
    </w:p>
    <w:p>
      <w:pPr>
        <w:spacing w:before="0" w:after="160" w:line="360"/>
        <w:jc w:val="both"/>
      </w:pPr>
      <w:r>
        <w:rPr>
          <w:rFonts w:ascii="SimSun" w:cs="SimSun" w:eastAsia="SimSun" w:hAnsi="SimSun"/>
          <w:sz w:val="24"/>
          <w:szCs w:val="24"/>
        </w:rPr>
        <w:t xml:space="preserve">本文采用双向固定效应模型（Two-Way Fixed Effects，TWFE）作为基准估计策略，同时控制省份个体效应（μ_i）与年份固定效应（λ_t）：</w:t>
      </w:r>
    </w:p>
    <w:p>
      <w:pPr>
        <w:spacing w:before="120" w:after="120"/>
        <w:jc w:val="center"/>
      </w:pPr>
      <w:r>
        <w:rPr>
          <w:rFonts w:ascii="SimSun" w:cs="SimSun" w:eastAsia="SimSun" w:hAnsi="SimSun"/>
          <w:i/>
          <w:iCs/>
          <w:sz w:val="24"/>
          <w:szCs w:val="24"/>
        </w:rPr>
        <w:t xml:space="preserve">ln(TFP)_it = α + β₁PubEmp_it + β₂TaxBurden_it + β₃Aging_it + γX_it + μ_i + λ_t + ε_it</w:t>
      </w:r>
    </w:p>
    <w:p>
      <w:pPr>
        <w:spacing w:before="0" w:after="160" w:line="360"/>
        <w:jc w:val="both"/>
      </w:pPr>
      <w:r>
        <w:rPr>
          <w:rFonts w:ascii="SimSun" w:cs="SimSun" w:eastAsia="SimSun" w:hAnsi="SimSun"/>
          <w:sz w:val="24"/>
          <w:szCs w:val="24"/>
        </w:rPr>
        <w:t xml:space="preserve">省份固定效应吸收了所有不随时间变化的省份特征（地理、文化、历史制度等），年份固定效应控制了宏观经济周期对所有省份的共同冲击。标准误在省份层面聚类以处理组内序列相关问题。</w:t>
      </w:r>
    </w:p>
    <w:p>
      <w:pPr>
        <w:spacing w:before="0" w:after="80"/>
      </w:pPr>
      <w:r>
        <w:t xml:space="preserve"/>
      </w:r>
    </w:p>
    <w:p>
      <w:pPr>
        <w:pStyle w:val="Heading3"/>
        <w:spacing w:before="200" w:after="140"/>
        <w:jc w:val="left"/>
      </w:pPr>
      <w:r>
        <w:rPr>
          <w:rFonts w:ascii="SimHei" w:cs="SimHei" w:eastAsia="SimHei" w:hAnsi="SimHei"/>
          <w:b/>
          <w:bCs/>
          <w:sz w:val="26"/>
          <w:szCs w:val="26"/>
        </w:rPr>
        <w:t xml:space="preserve">6.2.2  基准回归结果（H1检验）</w:t>
      </w:r>
    </w:p>
    <w:p>
      <w:pPr>
        <w:spacing w:before="0" w:after="160" w:line="360"/>
        <w:jc w:val="both"/>
      </w:pPr>
      <w:r>
        <w:rPr>
          <w:rFonts w:ascii="SimSun" w:cs="SimSun" w:eastAsia="SimSun" w:hAnsi="SimSun"/>
          <w:sz w:val="24"/>
          <w:szCs w:val="24"/>
        </w:rPr>
        <w:t xml:space="preserve">表6-2报告了四个模型的双向固定效应估计结果。模型1仅纳入三个核心自变量；模型2加入全套控制变量；模型3对公共部门占比与老龄化率取对数；模型4在模型2基础上剔除西藏（广义税负异常值省份）。</w:t>
      </w:r>
    </w:p>
    <w:p>
      <w:pPr>
        <w:spacing w:before="0" w:after="80"/>
      </w:pPr>
      <w:r>
        <w:t xml:space="preserve"/>
      </w:r>
    </w:p>
    <w:p>
      <w:pPr>
        <w:jc w:val="center"/>
      </w:pPr>
      <w:r>
        <w:rPr>
          <w:rFonts w:ascii="SimHei" w:cs="SimHei" w:eastAsia="SimHei" w:hAnsi="SimHei"/>
          <w:b/>
          <w:bCs/>
          <w:sz w:val="22"/>
          <w:szCs w:val="22"/>
        </w:rPr>
        <w:t xml:space="preserve">表6-2  双向固定效应主回归结果（因变量：ln_TFP）</w:t>
      </w:r>
    </w:p>
    <w:p>
      <w:pPr>
        <w:spacing w:before="0" w:after="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700"/>
        <w:gridCol w:w="1800"/>
      </w:tblGrid>
      <w:tr>
        <w:trPr>
          <w:tblHeader/>
        </w:trP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left"/>
            </w:pPr>
            <w:r>
              <w:rPr>
                <w:rFonts w:ascii="SimSun" w:cs="SimSun" w:eastAsia="SimSun" w:hAnsi="SimSun"/>
                <w:b/>
                <w:bCs/>
                <w:sz w:val="20"/>
                <w:szCs w:val="20"/>
              </w:rPr>
              <w:t xml:space="preserve">变量</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模型1</w:t>
            </w:r>
          </w:p>
        </w:tc>
        <w:tc>
          <w:tcPr>
            <w:tcW w:type="dxa" w:w="1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模型2（含控制）</w:t>
            </w:r>
          </w:p>
        </w:tc>
        <w:tc>
          <w:tcPr>
            <w:tcW w:type="dxa" w:w="1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模型3（对数）</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模型4（剔除西藏）</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pub_emp_share2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0.614***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0.694***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0.685***</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(0.156)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(0.151)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(0.155)</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ln_pub_emp（对数形式）</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0.281***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(0.071)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broad_tax_burden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-0.003</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-0.006***</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(0.002)</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aging_rate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0.007</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0.011**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0.012**</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(0.005)</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ln_aging（对数形式）</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0.048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(0.054)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urban_rate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-0.011***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-0.297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-0.011***</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sec_ind_share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0.006**</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trade_openness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0.011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0.000</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省份FE / 年份FE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 / ✓</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 / ✓</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 / ✓</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 / ✓</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Within R²</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0.684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0.744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0.711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0.750</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观测值</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310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279</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279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270</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省份数</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31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31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31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30</w:t>
            </w:r>
          </w:p>
        </w:tc>
      </w:tr>
    </w:tbl>
    <w:p>
      <w:pPr>
        <w:spacing w:before="0" w:after="120" w:line="300"/>
        <w:jc w:val="both"/>
      </w:pPr>
      <w:r>
        <w:rPr>
          <w:rFonts w:ascii="SimSun" w:cs="SimSun" w:eastAsia="SimSun" w:hAnsi="SimSun"/>
          <w:i/>
          <w:iCs/>
          <w:color w:val="444444"/>
          <w:sz w:val="20"/>
          <w:szCs w:val="20"/>
        </w:rPr>
        <w:t xml:space="preserve">注：括号内为省份层面聚类稳健标准误。*** p&lt;0.01，** p&lt;0.05，* p&lt;0.1。所有模型包含省份固定效应与年份固定效应。TFP由索洛残差法估算（α=0.5，δ=0.096）。广义税负为一般公共预算支出/GDP。"—"表示该模型未纳入该形式的变量。</w:t>
      </w:r>
    </w:p>
    <w:p>
      <w:pPr>
        <w:spacing w:before="0" w:after="80"/>
      </w:pPr>
      <w:r>
        <w:t xml:space="preserve"/>
      </w:r>
    </w:p>
    <w:p>
      <w:pPr>
        <w:spacing w:before="0" w:after="160" w:line="360"/>
        <w:jc w:val="both"/>
      </w:pPr>
      <w:r>
        <w:rPr>
          <w:rFonts w:ascii="SimSun" w:cs="SimSun" w:eastAsia="SimSun" w:hAnsi="SimSun"/>
          <w:sz w:val="24"/>
          <w:szCs w:val="24"/>
        </w:rPr>
        <w:t xml:space="preserve">广义税负（broad_tax_burden）的估计结果在模型2至模型4中均显著为负：模型2系数为−0.0045（p&lt;0.01），模型4（剔除西藏后）系数为−0.0062（p&lt;0.01）。这意味着在控制省份和年份固定效应后，同一省份广义税负每上升1个百分点，TFP约下降0.45%至0.62%。这一结果在全部稳健性检验中保持一致（见6.2.4节），是本文最核心、最稳健的实证发现，对H1中税负部分的论断形成直接支持。</w:t>
      </w:r>
    </w:p>
    <w:p>
      <w:pPr>
        <w:spacing w:before="0" w:after="160" w:line="360"/>
        <w:jc w:val="both"/>
      </w:pPr>
      <w:r>
        <w:rPr>
          <w:rFonts w:ascii="SimSun" w:cs="SimSun" w:eastAsia="SimSun" w:hAnsi="SimSun"/>
          <w:sz w:val="24"/>
          <w:szCs w:val="24"/>
        </w:rPr>
        <w:t xml:space="preserve">人口老龄化率（aging_rate）在纳入控制变量后显著为正（模型2：β=0.011，p&lt;0.05），方向与H1预期相反。这一结果在固定效应框架下的解读为：2008—2017年，老龄化程度更快上升的省份，同期TFP也在上升，反映的是该阶段老龄化与经济转型、产业升级同步推进的复杂交织关系，而非老龄化直接促进效率的因果论断。在截面层面，老龄化率越高的省份TFP并不一定更高，时序维度的正相关揭示了这一议题的内在复杂性。</w:t>
      </w:r>
    </w:p>
    <w:p>
      <w:pPr>
        <w:spacing w:before="0" w:after="160" w:line="360"/>
        <w:jc w:val="both"/>
      </w:pPr>
      <w:r>
        <w:rPr>
          <w:rFonts w:ascii="SimSun" w:cs="SimSun" w:eastAsia="SimSun" w:hAnsi="SimSun"/>
          <w:sz w:val="24"/>
          <w:szCs w:val="24"/>
        </w:rPr>
        <w:t xml:space="preserve">公共部门就业占比（pub_emp_share2）的估计系数在全部模型中均显著为正（模型2：β=0.694，p&lt;0.01），与H1的挤出效应预期相悖。这一结果并不意味着扩大公共部门有利于效率提升，而反映了该代理变量在时间维度上存在系统性测量偏误——2008—2017年间多数省份的私营就业增速远超公共部门，导致pub_emp_share2随时间下降，而TFP同期上升，固定效应捕捉到的是这一同向趋势的镜像关系。该变量无法识别的最关键群体，是因"考公热"而全职备考、退出劳动力统计口径的人群，他们是挤出效应最直接的载体，却恰好既不在分子也不在分母中。这一测量缺陷将在6.2.5节详细讨论。</w:t>
      </w:r>
    </w:p>
    <w:p>
      <w:pPr>
        <w:spacing w:before="0" w:after="80"/>
      </w:pPr>
      <w:r>
        <w:t xml:space="preserve"/>
      </w:r>
    </w:p>
    <w:p>
      <w:pPr>
        <w:pStyle w:val="Heading3"/>
        <w:spacing w:before="200" w:after="140"/>
        <w:jc w:val="left"/>
      </w:pPr>
      <w:r>
        <w:rPr>
          <w:rFonts w:ascii="SimHei" w:cs="SimHei" w:eastAsia="SimHei" w:hAnsi="SimHei"/>
          <w:b/>
          <w:bCs/>
          <w:sz w:val="26"/>
          <w:szCs w:val="26"/>
        </w:rPr>
        <w:t xml:space="preserve">6.2.3  中介效应检验（H2检验）</w:t>
      </w:r>
    </w:p>
    <w:p>
      <w:pPr>
        <w:spacing w:before="0" w:after="160" w:line="360"/>
        <w:jc w:val="both"/>
      </w:pPr>
      <w:r>
        <w:rPr>
          <w:rFonts w:ascii="SimSun" w:cs="SimSun" w:eastAsia="SimSun" w:hAnsi="SimSun"/>
          <w:sz w:val="24"/>
          <w:szCs w:val="24"/>
        </w:rPr>
        <w:t xml:space="preserve">采用Baron-Kenny三步法检验"制度约束→创新抑制→TFP下降"的中介路径。第一步（已在6.2.2节通过）：核心自变量对TFP的总效应已确认。第二步：检验自变量对中介变量（专利申请量）的影响。第三步：在同时纳入自变量与中介变量时，检验中介变量对TFP的独立效应。</w:t>
      </w:r>
    </w:p>
    <w:p>
      <w:pPr>
        <w:spacing w:before="0" w:after="160" w:line="360"/>
        <w:jc w:val="both"/>
      </w:pPr>
      <w:r>
        <w:rPr>
          <w:rFonts w:ascii="SimSun" w:cs="SimSun" w:eastAsia="SimSun" w:hAnsi="SimSun"/>
          <w:sz w:val="24"/>
          <w:szCs w:val="24"/>
        </w:rPr>
        <w:t xml:space="preserve">第二步回归结果显示，pub_emp_share2对ln_patent_apps的影响不显著（β=0.562，p=0.376）；broad_tax_burden对ln_patent_apps的影响边际显著（β=−0.014，p=0.085）。第三步回归中，加入专利变量后，ln_patent_apps系数不显著（β=0.006，p=0.692），税负和就业占比系数几乎不变，间接效应估计值分别为0.003和−0.00009，量级极小。</w:t>
      </w:r>
    </w:p>
    <w:p>
      <w:pPr>
        <w:spacing w:before="0" w:after="160" w:line="360"/>
        <w:jc w:val="both"/>
      </w:pPr>
      <w:r>
        <w:rPr>
          <w:rFonts w:ascii="SimSun" w:cs="SimSun" w:eastAsia="SimSun" w:hAnsi="SimSun"/>
          <w:sz w:val="24"/>
          <w:szCs w:val="24"/>
        </w:rPr>
        <w:t xml:space="preserve">综合来看，H2未获支持。创新抑制路径在本数据集与方法框架下未能作为可识别的中介机制。这可能源于：其一，省级专利申请量作为创新代理变量较为粗糙，无法精确刻画人才结构对前沿技术创新的贡献；其二，中介效应在固定效应框架下难以识别——当解释变量与中介变量均以省内变异为主要信息来源时，路径分解的统计功效有限。</w:t>
      </w:r>
    </w:p>
    <w:p>
      <w:pPr>
        <w:spacing w:before="0" w:after="80"/>
      </w:pPr>
      <w:r>
        <w:t xml:space="preserve"/>
      </w:r>
    </w:p>
    <w:p>
      <w:pPr>
        <w:pStyle w:val="Heading3"/>
        <w:spacing w:before="200" w:after="140"/>
        <w:jc w:val="left"/>
      </w:pPr>
      <w:r>
        <w:rPr>
          <w:rFonts w:ascii="SimHei" w:cs="SimHei" w:eastAsia="SimHei" w:hAnsi="SimHei"/>
          <w:b/>
          <w:bCs/>
          <w:sz w:val="26"/>
          <w:szCs w:val="26"/>
        </w:rPr>
        <w:t xml:space="preserve">6.2.4  异质性分析（H3检验）</w:t>
      </w:r>
    </w:p>
    <w:p>
      <w:pPr>
        <w:spacing w:before="0" w:after="160" w:line="360"/>
        <w:jc w:val="both"/>
      </w:pPr>
      <w:r>
        <w:rPr>
          <w:rFonts w:ascii="SimSun" w:cs="SimSun" w:eastAsia="SimSun" w:hAnsi="SimSun"/>
          <w:sz w:val="24"/>
          <w:szCs w:val="24"/>
        </w:rPr>
        <w:t xml:space="preserve">按东、中、西部进行分组回归，以检验挤出效应是否在市场化程度较低的中西部地区更为显著。表6-3报告了分区域估计结果。</w:t>
      </w:r>
    </w:p>
    <w:p>
      <w:pPr>
        <w:spacing w:before="0" w:after="80"/>
      </w:pPr>
      <w:r>
        <w:t xml:space="preserve"/>
      </w:r>
    </w:p>
    <w:p>
      <w:pPr>
        <w:jc w:val="center"/>
      </w:pPr>
      <w:r>
        <w:rPr>
          <w:rFonts w:ascii="SimHei" w:cs="SimHei" w:eastAsia="SimHei" w:hAnsi="SimHei"/>
          <w:b/>
          <w:bCs/>
          <w:sz w:val="22"/>
          <w:szCs w:val="22"/>
        </w:rPr>
        <w:t xml:space="preserve">表6-3  异质性分析：分区域固定效应回归（因变量：ln_TFP）</w:t>
      </w:r>
    </w:p>
    <w:p>
      <w:pPr>
        <w:spacing w:before="0" w:after="80"/>
      </w:pPr>
      <w:r>
        <w:t xml:space="preserve"/>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tblGrid>
      <w:tr>
        <w:trPr>
          <w:tblHeader/>
        </w:trP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left"/>
            </w:pPr>
            <w:r>
              <w:rPr>
                <w:rFonts w:ascii="SimSun" w:cs="SimSun" w:eastAsia="SimSun" w:hAnsi="SimSun"/>
                <w:b/>
                <w:bCs/>
                <w:sz w:val="20"/>
                <w:szCs w:val="20"/>
              </w:rPr>
              <w:t xml:space="preserve">变量</w:t>
            </w:r>
          </w:p>
        </w:tc>
        <w:tc>
          <w:tcPr>
            <w:tcW w:type="dxa" w:w="1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东部（11省）</w:t>
            </w:r>
          </w:p>
        </w:tc>
        <w:tc>
          <w:tcPr>
            <w:tcW w:type="dxa" w:w="1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中部（8省）</w:t>
            </w:r>
          </w:p>
        </w:tc>
        <w:tc>
          <w:tcPr>
            <w:tcW w:type="dxa" w:w="1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西部（12省）</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pub_emp_share2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0.099</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1.436***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0.960***</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(0.212)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(0.174)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(0.207)</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broad_tax_burden</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-0.011**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-0.024***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-0.005***</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(0.002)</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aging_rate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0.011*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-0.010</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Within R²</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0.755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0.938</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0.826</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观测值</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99</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72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108</w:t>
            </w:r>
          </w:p>
        </w:tc>
      </w:tr>
    </w:tbl>
    <w:p>
      <w:pPr>
        <w:spacing w:before="0" w:after="120" w:line="300"/>
        <w:jc w:val="both"/>
      </w:pPr>
      <w:r>
        <w:rPr>
          <w:rFonts w:ascii="SimSun" w:cs="SimSun" w:eastAsia="SimSun" w:hAnsi="SimSun"/>
          <w:i/>
          <w:iCs/>
          <w:color w:val="444444"/>
          <w:sz w:val="20"/>
          <w:szCs w:val="20"/>
        </w:rPr>
        <w:t xml:space="preserve">注：括号内为省份层面聚类稳健标准误。*** p&lt;0.01，** p&lt;0.05，* p&lt;0.1。东部=北京、天津、河北、辽宁、上海、江苏、浙江、福建、山东、广东、海南（11省）；中部=山西、吉林、黑龙江、安徽、江西、河南、湖北、湖南（8省）；西部=内蒙古、广西、重庆、四川、贵州、云南、西藏、陕西、甘肃、青海、宁夏、新疆（12省）。</w:t>
      </w:r>
    </w:p>
    <w:p>
      <w:pPr>
        <w:spacing w:before="0" w:after="80"/>
      </w:pPr>
      <w:r>
        <w:t xml:space="preserve"/>
      </w:r>
    </w:p>
    <w:p>
      <w:pPr>
        <w:spacing w:before="0" w:after="160" w:line="360"/>
        <w:jc w:val="both"/>
      </w:pPr>
      <w:r>
        <w:rPr>
          <w:rFonts w:ascii="SimSun" w:cs="SimSun" w:eastAsia="SimSun" w:hAnsi="SimSun"/>
          <w:sz w:val="24"/>
          <w:szCs w:val="24"/>
        </w:rPr>
        <w:t xml:space="preserve">广义税负对TFP的抑制效应在三个区域均显著为负，但强度存在显著差异。中部地区的负向效应最为强烈（β=−0.024，p&lt;0.01），约为东部（β=−0.011）的两倍以上，也明显强于西部（β=−0.005）。这与本文的理论预期方向一致：中部省份兼具较高的实质税负与相对薄弱的市场化基础，税负对TFP的挤压效应缺乏高效市场机制的缓冲，因而损耗更大。中部"工业塌陷"与财政压力叠加的制度背景，与这一区域性结果高度吻合，对H3形成部分支持。</w:t>
      </w:r>
    </w:p>
    <w:p>
      <w:pPr>
        <w:spacing w:before="0" w:after="160" w:line="360"/>
        <w:jc w:val="both"/>
      </w:pPr>
      <w:r>
        <w:rPr>
          <w:rFonts w:ascii="SimSun" w:cs="SimSun" w:eastAsia="SimSun" w:hAnsi="SimSun"/>
          <w:sz w:val="24"/>
          <w:szCs w:val="24"/>
        </w:rPr>
        <w:t xml:space="preserve">西部地区广义税负效应偏小（β=−0.005），部分原因在于西部省份的TFP基数本身较低且波动较大，中央转移支付在统计上造成广义税负偏高但不完全对应真实资源汲取强度。交互项检验（broad_tx_west）系数显著为正（β=+0.011，p&lt;0.01），确认西部地区广义税负的负向效应确实弱于其他地区，方向上与上述解释一致。</w:t>
      </w:r>
    </w:p>
    <w:p>
      <w:pPr>
        <w:spacing w:before="0" w:after="160" w:line="360"/>
        <w:jc w:val="both"/>
      </w:pPr>
      <w:r>
        <w:rPr>
          <w:rFonts w:ascii="SimSun" w:cs="SimSun" w:eastAsia="SimSun" w:hAnsi="SimSun"/>
          <w:sz w:val="24"/>
          <w:szCs w:val="24"/>
        </w:rPr>
        <w:t xml:space="preserve">公共部门就业占比在中部和西部的正向系数更大，进一步印证了该变量在时序维度上的反向测量问题在市场化程度较低、就业结构转型更快的中西部地区尤为突出。</w:t>
      </w:r>
    </w:p>
    <w:p>
      <w:pPr>
        <w:spacing w:before="0" w:after="80"/>
      </w:pPr>
      <w:r>
        <w:t xml:space="preserve"/>
      </w:r>
    </w:p>
    <w:p>
      <w:pPr>
        <w:pStyle w:val="Heading3"/>
        <w:spacing w:before="200" w:after="140"/>
        <w:jc w:val="left"/>
      </w:pPr>
      <w:r>
        <w:rPr>
          <w:rFonts w:ascii="SimHei" w:cs="SimHei" w:eastAsia="SimHei" w:hAnsi="SimHei"/>
          <w:b/>
          <w:bCs/>
          <w:sz w:val="26"/>
          <w:szCs w:val="26"/>
        </w:rPr>
        <w:t xml:space="preserve">6.2.5  稳健性检验</w:t>
      </w:r>
    </w:p>
    <w:p>
      <w:pPr>
        <w:spacing w:before="0" w:after="160" w:line="360"/>
        <w:jc w:val="both"/>
      </w:pPr>
      <w:r>
        <w:rPr>
          <w:rFonts w:ascii="SimSun" w:cs="SimSun" w:eastAsia="SimSun" w:hAnsi="SimSun"/>
          <w:sz w:val="24"/>
          <w:szCs w:val="24"/>
        </w:rPr>
        <w:t xml:space="preserve">表6-4汇报了五项稳健性检验结果，用以评估核心发现的可靠性。</w:t>
      </w:r>
    </w:p>
    <w:p>
      <w:pPr>
        <w:spacing w:before="0" w:after="80"/>
      </w:pPr>
      <w:r>
        <w:t xml:space="preserve"/>
      </w:r>
    </w:p>
    <w:p>
      <w:pPr>
        <w:jc w:val="center"/>
      </w:pPr>
      <w:r>
        <w:rPr>
          <w:rFonts w:ascii="SimHei" w:cs="SimHei" w:eastAsia="SimHei" w:hAnsi="SimHei"/>
          <w:b/>
          <w:bCs/>
          <w:sz w:val="22"/>
          <w:szCs w:val="22"/>
        </w:rPr>
        <w:t xml:space="preserve">表6-4  稳健性检验汇总（因变量：ln_TFP）</w:t>
      </w:r>
    </w:p>
    <w:p>
      <w:pPr>
        <w:spacing w:before="0" w:after="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700"/>
        <w:gridCol w:w="1900"/>
        <w:gridCol w:w="700"/>
        <w:gridCol w:w="1000"/>
      </w:tblGrid>
      <w:tr>
        <w:trPr>
          <w:tblHeader/>
        </w:trPr>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left"/>
            </w:pPr>
            <w:r>
              <w:rPr>
                <w:rFonts w:ascii="SimSun" w:cs="SimSun" w:eastAsia="SimSun" w:hAnsi="SimSun"/>
                <w:b/>
                <w:bCs/>
                <w:sz w:val="20"/>
                <w:szCs w:val="20"/>
              </w:rPr>
              <w:t xml:space="preserve">检验方案</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pub_emp_share2</w:t>
            </w:r>
          </w:p>
        </w:tc>
        <w:tc>
          <w:tcPr>
            <w:tcW w:type="dxa" w:w="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p值</w:t>
            </w:r>
          </w:p>
        </w:tc>
        <w:tc>
          <w:tcPr>
            <w:tcW w:type="dxa" w:w="1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税负变量</w:t>
            </w:r>
          </w:p>
        </w:tc>
        <w:tc>
          <w:tcPr>
            <w:tcW w:type="dxa" w:w="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p值</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jc w:val="center"/>
            </w:pPr>
            <w:r>
              <w:rPr>
                <w:rFonts w:ascii="SimSun" w:cs="SimSun" w:eastAsia="SimSun" w:hAnsi="SimSun"/>
                <w:b/>
                <w:bCs/>
                <w:sz w:val="20"/>
                <w:szCs w:val="20"/>
              </w:rPr>
              <w:t xml:space="preserve">Within R²</w:t>
            </w:r>
          </w:p>
        </w:tc>
      </w:tr>
      <w:tr>
        <w:trPr>
          <w:tblHeader w:val="false"/>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主回归（α=0.5，广义税负）</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0.694***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-0.005***（广义）</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0.744</w:t>
            </w:r>
          </w:p>
        </w:tc>
      </w:tr>
      <w:tr>
        <w:trPr>
          <w:tblHeader w:val="false"/>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替换α=0.4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0.783***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-0.004***（广义）</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0.619</w:t>
            </w:r>
          </w:p>
        </w:tc>
      </w:tr>
      <w:tr>
        <w:trPr>
          <w:tblHeader w:val="false"/>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剔除四个直辖市</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0.814***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-0.004***（广义）</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0.786</w:t>
            </w:r>
          </w:p>
        </w:tc>
      </w:tr>
      <w:tr>
        <w:trPr>
          <w:tblHeader w:val="false"/>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狭义税负口径对比</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0.657***</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-0.019**（狭义）</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0.019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0.739</w:t>
            </w:r>
          </w:p>
        </w:tc>
      </w:tr>
      <w:tr>
        <w:trPr>
          <w:tblHeader w:val="false"/>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sz w:val="20"/>
                <w:szCs w:val="20"/>
              </w:rPr>
              <w:t xml:space="preserve">工具变量（2SLS）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0.626***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-0.005**（广义）</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0.011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sz w:val="20"/>
                <w:szCs w:val="20"/>
              </w:rPr>
              <w:t xml:space="preserve">0.971</w:t>
            </w:r>
          </w:p>
        </w:tc>
      </w:tr>
    </w:tbl>
    <w:p>
      <w:pPr>
        <w:spacing w:before="0" w:after="120" w:line="300"/>
        <w:jc w:val="both"/>
      </w:pPr>
      <w:r>
        <w:rPr>
          <w:rFonts w:ascii="SimSun" w:cs="SimSun" w:eastAsia="SimSun" w:hAnsi="SimSun"/>
          <w:i/>
          <w:iCs/>
          <w:color w:val="444444"/>
          <w:sz w:val="20"/>
          <w:szCs w:val="20"/>
        </w:rPr>
        <w:t xml:space="preserve">注：*** p&lt;0.01，** p&lt;0.05。主回归结果同表6-2模型2。工具变量为pub_emp_share2与broad_tax_burden的滞后一期；Shea偏R²分别为0.534和0.555，满足工具变量相关性要求。</w:t>
      </w:r>
    </w:p>
    <w:p>
      <w:pPr>
        <w:spacing w:before="0" w:after="80"/>
      </w:pPr>
      <w:r>
        <w:t xml:space="preserve"/>
      </w:r>
    </w:p>
    <w:p>
      <w:pPr>
        <w:spacing w:before="0" w:after="160" w:line="360"/>
        <w:jc w:val="both"/>
      </w:pPr>
      <w:r>
        <w:rPr>
          <w:rFonts w:ascii="SimSun" w:cs="SimSun" w:eastAsia="SimSun" w:hAnsi="SimSun"/>
          <w:sz w:val="24"/>
          <w:szCs w:val="24"/>
        </w:rPr>
        <w:t xml:space="preserve">五项检验一致表明：其一，广义税负对TFP的负向效应不因资本弹性参数选取（α=0.4或0.5）而改变；其二，剔除四个直辖市后结果更加稳健（系数略有增大）；其三，将广义税负替换为狭义税负（税收/GDP），税负系数仍显著为负，但量级差异明显（−0.019 vs −0.005），证明狭义口径因遗漏土地出让金、社保费等重要分项而低估了真实税负的挤出程度；其四，工具变量估计（以税负和就业占比的滞后一期为工具）结果与OLS基本一致，表明主要结论不受反向因果影响。公共部门就业占比的正向系数在全部检验中均持续存在，进一步印证了这一异常系数的根源在于测量局限而非真实的效率促进效应。</w:t>
      </w:r>
    </w:p>
    <w:p>
      <w:pPr>
        <w:spacing w:before="0" w:after="80"/>
      </w:pPr>
      <w:r>
        <w:t xml:space="preserve"/>
      </w:r>
    </w:p>
    <w:p>
      <w:pPr>
        <w:pStyle w:val="Heading3"/>
        <w:spacing w:before="200" w:after="140"/>
        <w:jc w:val="left"/>
      </w:pPr>
      <w:r>
        <w:rPr>
          <w:rFonts w:ascii="SimHei" w:cs="SimHei" w:eastAsia="SimHei" w:hAnsi="SimHei"/>
          <w:b/>
          <w:bCs/>
          <w:sz w:val="26"/>
          <w:szCs w:val="26"/>
        </w:rPr>
        <w:t xml:space="preserve">6.2.6  实证结论与局限性讨论</w:t>
      </w:r>
    </w:p>
    <w:p>
      <w:pPr>
        <w:spacing w:before="0" w:after="160" w:line="360"/>
        <w:jc w:val="both"/>
      </w:pPr>
      <w:r>
        <w:rPr>
          <w:rFonts w:ascii="SimSun" w:cs="SimSun" w:eastAsia="SimSun" w:hAnsi="SimSun"/>
          <w:sz w:val="24"/>
          <w:szCs w:val="24"/>
        </w:rPr>
        <w:t xml:space="preserve">本章实证分析的主要发现可以归纳为以下三点：</w:t>
      </w:r>
    </w:p>
    <w:p>
      <w:pPr>
        <w:spacing w:before="0" w:after="160" w:line="360"/>
        <w:jc w:val="both"/>
      </w:pPr>
      <w:r>
        <w:rPr>
          <w:rFonts w:ascii="SimSun" w:cs="SimSun" w:eastAsia="SimSun" w:hAnsi="SimSun"/>
          <w:sz w:val="24"/>
          <w:szCs w:val="24"/>
        </w:rPr>
        <w:t xml:space="preserve">第一，广义税负对TFP存在稳健的负向效应。这是本文最核心的实证贡献。在控制省份和年份双向固定效应后，政府财政支出占GDP比重的上升与省内TFP下降之间存在显著的统计关联，且这一关联在资本弹性参数变换、样本调整、工具变量和不同税负口径等多重稳健性检验中均保持成立。从经济显著性来看，2008—2017年间中国省级广义税负平均约为27.7%，若能降低5个百分点，对应TFP约提升2.25%至3.1%，幅度可观。</w:t>
      </w:r>
    </w:p>
    <w:p>
      <w:pPr>
        <w:spacing w:before="0" w:after="160" w:line="360"/>
        <w:jc w:val="both"/>
      </w:pPr>
      <w:r>
        <w:rPr>
          <w:rFonts w:ascii="SimSun" w:cs="SimSun" w:eastAsia="SimSun" w:hAnsi="SimSun"/>
          <w:sz w:val="24"/>
          <w:szCs w:val="24"/>
        </w:rPr>
        <w:t xml:space="preserve">第二，广义税负对TFP的抑制效应在中部省份最为突出，约为东部的两倍。这与中部省份在2008年后"去工业化"与财政压力并存、市场机制不足以对冲税负冲击的制度背景相吻合，对H3形成部分支持。</w:t>
      </w:r>
    </w:p>
    <w:p>
      <w:pPr>
        <w:spacing w:before="0" w:after="160" w:line="360"/>
        <w:jc w:val="both"/>
      </w:pPr>
      <w:r>
        <w:rPr>
          <w:rFonts w:ascii="SimSun" w:cs="SimSun" w:eastAsia="SimSun" w:hAnsi="SimSun"/>
          <w:sz w:val="24"/>
          <w:szCs w:val="24"/>
        </w:rPr>
        <w:t xml:space="preserve">第三，公共部门就业挤出效应未能通过现有代理变量得到识别。这并不否认挤出效应的理论存在性，而是揭示了在中国省级数据框架下测量该效应的根本困难：城镇正规就业统计口径遗漏了因"考公热"而退出劳动力市场的全职备考群体，这恰恰是挤出效应最直接的人力资本载体。更严重的是，考公热的规模性爆发（2017年后）与可用数据的终止年份（2017年）精确重合，这一时间结构使现有数据在原理上就无法充分捕捉挤出效应最严重的阶段，构成本研究最难以克服的外部效度挑战。</w:t>
      </w:r>
    </w:p>
    <w:p>
      <w:pPr>
        <w:spacing w:before="0" w:after="160" w:line="360"/>
        <w:jc w:val="both"/>
      </w:pPr>
      <w:r>
        <w:rPr>
          <w:rFonts w:ascii="SimSun" w:cs="SimSun" w:eastAsia="SimSun" w:hAnsi="SimSun"/>
          <w:sz w:val="24"/>
          <w:szCs w:val="24"/>
        </w:rPr>
        <w:t xml:space="preserve">这一局限提示，未来研究若能获取涵盖备考脱产人群的劳动力调查数据，或利用政策实验（如特定年份岗位削减的准自然实验）识别公共部门就业冲击，将能对挤出效应提供更有力的因果识别。</w:t>
      </w:r>
    </w:p>
    <w:p>
      <w:pPr>
        <w:spacing w:before="0" w:after="80"/>
      </w:pPr>
      <w: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SimHei" w:cs="SimHei" w:eastAsia="SimHei" w:hAnsi="SimHei"/>
      <w:b/>
      <w:bCs/>
      <w:sz w:val="32"/>
      <w:szCs w:val="32"/>
    </w:rPr>
  </w:style>
  <w:style w:type="paragraph" w:styleId="Heading2">
    <w:name w:val="Heading 2"/>
    <w:basedOn w:val="Normal"/>
    <w:next w:val="Normal"/>
    <w:qFormat/>
    <w:pPr>
      <w:spacing w:before="280" w:after="180"/>
      <w:outlineLvl w:val="1"/>
    </w:pPr>
    <w:rPr>
      <w:rFonts w:ascii="SimHei" w:cs="SimHei" w:eastAsia="SimHei" w:hAnsi="SimHei"/>
      <w:b/>
      <w:bCs/>
      <w:sz w:val="28"/>
      <w:szCs w:val="28"/>
    </w:rPr>
  </w:style>
  <w:style w:type="paragraph" w:styleId="Heading3">
    <w:name w:val="Heading 3"/>
    <w:basedOn w:val="Normal"/>
    <w:next w:val="Normal"/>
    <w:qFormat/>
    <w:pPr>
      <w:spacing w:before="200" w:after="140"/>
      <w:outlineLvl w:val="2"/>
    </w:pPr>
    <w:rPr>
      <w:rFonts w:ascii="SimHei" w:cs="SimHei" w:eastAsia="SimHei" w:hAnsi="SimHe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2026-03-13T00:22:15.532Z</dcterms:created>
  <dcterms:modified xsi:type="dcterms:W3CDTF">2026-03-13T00:22:15.533Z</dcterms:modified>
</cp:coreProperties>
</file>

<file path=docProps/custom.xml><?xml version="1.0" encoding="utf-8"?>
<Properties xmlns="http://schemas.openxmlformats.org/officeDocument/2006/custom-properties" xmlns:vt="http://schemas.openxmlformats.org/officeDocument/2006/docPropsVTypes"/>
</file>