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40"/>
        <w:jc w:val="center"/>
      </w:pPr>
      <w:r>
        <w:rPr>
          <w:rFonts w:ascii="黑体" w:cs="黑体" w:eastAsia="黑体" w:hAnsi="黑体"/>
          <w:b/>
          <w:bCs/>
          <w:sz w:val="32"/>
          <w:szCs w:val="32"/>
        </w:rPr>
        <w:t xml:space="preserve">第六章 实证研究</w:t>
      </w:r>
    </w:p>
    <w:p>
      <w:pPr>
        <w:spacing w:line="480"/>
      </w:pPr>
      <w:r>
        <w:t xml:space="preserve"/>
      </w:r>
    </w:p>
    <w:p>
      <w:pPr>
        <w:pStyle w:val="Heading2"/>
        <w:spacing w:before="300" w:after="180"/>
      </w:pPr>
      <w:r>
        <w:rPr>
          <w:rFonts w:ascii="黑体" w:cs="黑体" w:eastAsia="黑体" w:hAnsi="黑体"/>
          <w:b/>
          <w:bCs/>
          <w:sz w:val="28"/>
          <w:szCs w:val="28"/>
        </w:rPr>
        <w:t xml:space="preserve">6.1 变量选取与数据说明</w:t>
      </w:r>
    </w:p>
    <w:p>
      <w:pPr>
        <w:pStyle w:val="Heading3"/>
        <w:spacing w:before="240" w:after="120"/>
      </w:pPr>
      <w:r>
        <w:rPr>
          <w:rFonts w:ascii="黑体" w:cs="黑体" w:eastAsia="黑体" w:hAnsi="黑体"/>
          <w:b/>
          <w:bCs/>
          <w:sz w:val="24"/>
          <w:szCs w:val="24"/>
        </w:rPr>
        <w:t xml:space="preserve">6.1.1 研究样本</w:t>
      </w:r>
    </w:p>
    <w:p>
      <w:pPr>
        <w:spacing w:line="480" w:lineRule="auto"/>
        <w:ind w:firstLine="480"/>
      </w:pPr>
      <w:r>
        <w:rPr>
          <w:rFonts w:ascii="宋体" w:cs="宋体" w:eastAsia="宋体" w:hAnsi="宋体"/>
          <w:sz w:val="24"/>
          <w:szCs w:val="24"/>
        </w:rPr>
        <w:t xml:space="preserve">本章实证分析以中国大陆31个省级行政单位（省、自治区、直辖市）为研究对象，时间范围为2008—2017年，共构成310个平衡面板观测值。样本起点选取2008年，原因在于固定资产投资省级分类数据自该年起完整可得，是构建资本存量的必要条件；样本终点定为2017年，源于国家统计局自2018年起调整固定资产投资统计口径，停止发布可比的分省数据，现有数据无法向后延伸。</w:t>
      </w:r>
    </w:p>
    <w:p>
      <w:pPr>
        <w:spacing w:line="480" w:lineRule="auto"/>
        <w:ind w:firstLine="480"/>
      </w:pPr>
      <w:r>
        <w:rPr>
          <w:rFonts w:ascii="宋体" w:cs="宋体" w:eastAsia="宋体" w:hAnsi="宋体"/>
          <w:sz w:val="24"/>
          <w:szCs w:val="24"/>
        </w:rPr>
        <w:t xml:space="preserve">値得注意的是，2018年恰好是公务员考试报录比开始加速攀升的历史节点。政府在经济数据最敏感的阶段调整统计口径，客观上造成了「挤出效应最严重的时期，可用数据反而缺失」的困境。这一系统性局限将在第七章局限性部分进一步讨论。</w:t>
      </w:r>
    </w:p>
    <w:p>
      <w:pPr>
        <w:pStyle w:val="Heading3"/>
        <w:spacing w:before="240" w:after="120"/>
      </w:pPr>
      <w:r>
        <w:rPr>
          <w:rFonts w:ascii="黑体" w:cs="黑体" w:eastAsia="黑体" w:hAnsi="黑体"/>
          <w:b/>
          <w:bCs/>
          <w:sz w:val="24"/>
          <w:szCs w:val="24"/>
        </w:rPr>
        <w:t xml:space="preserve">6.1.2 因变量：全要素生产率（TFP）</w:t>
      </w:r>
    </w:p>
    <w:p>
      <w:pPr>
        <w:spacing w:line="480" w:lineRule="auto"/>
        <w:ind w:firstLine="480"/>
      </w:pPr>
      <w:r>
        <w:rPr>
          <w:rFonts w:ascii="宋体" w:cs="宋体" w:eastAsia="宋体" w:hAnsi="宋体"/>
          <w:sz w:val="24"/>
          <w:szCs w:val="24"/>
        </w:rPr>
        <w:t xml:space="preserve">本文采用索洛残差法（Solow Residual）估算省级全要素生产率，基于新古典生产函数，将GDP增长中不能被资本与劳动投入解释的部分归因于技术进步与配置效率的综合提升。具体步骤如下：</w:t>
      </w:r>
    </w:p>
    <w:p>
      <w:pPr>
        <w:spacing w:line="480" w:lineRule="auto"/>
        <w:ind w:firstLine="480"/>
      </w:pPr>
      <w:r>
        <w:rPr>
          <w:rFonts w:ascii="宋体" w:cs="宋体" w:eastAsia="宋体" w:hAnsi="宋体"/>
          <w:sz w:val="24"/>
          <w:szCs w:val="24"/>
        </w:rPr>
        <w:t xml:space="preserve">第一步，采用永续盘存法（Perpetual Inventory Method）估算各省实际资本存量。折旧率δ=0.096，参考张军等（2004）；以各省2008年固定资产投资额除以（投资平均增速g+折旧率δ）作为2007年初始资本存量，其中g=0.161为2008—2017年各省固定资产投资平均年增速；此后逐年递推：K</w:t>
      </w:r>
    </w:p>
    <w:p>
      <w:pPr>
        <w:spacing w:line="480" w:lineRule="auto"/>
        <w:ind w:firstLine="480"/>
      </w:pPr>
      <w:r>
        <w:rPr>
          <w:rFonts w:ascii="宋体" w:cs="宋体" w:eastAsia="宋体" w:hAnsi="宋体"/>
          <w:sz w:val="24"/>
          <w:szCs w:val="24"/>
        </w:rPr>
        <w:t xml:space="preserve">第二步，劳动投入采用各省城镇单位就业人员与私营个体就业人员之和（单位：万人），数据来源于《中国劳动统计年鉴》。</w:t>
      </w:r>
    </w:p>
    <w:p>
      <w:pPr>
        <w:spacing w:line="480" w:lineRule="auto"/>
        <w:ind w:firstLine="480"/>
      </w:pPr>
      <w:r>
        <w:rPr>
          <w:rFonts w:ascii="宋体" w:cs="宋体" w:eastAsia="宋体" w:hAnsi="宋体"/>
          <w:sz w:val="24"/>
          <w:szCs w:val="24"/>
        </w:rPr>
        <w:t xml:space="preserve">第三步，采用索洛残差公式：ln(TFP</w:t>
      </w:r>
      <w:r>
        <w:rPr>
          <w:rFonts w:ascii="宋体" w:cs="宋体" w:eastAsia="宋体" w:hAnsi="宋体"/>
          <w:sz w:val="24"/>
          <w:szCs w:val="24"/>
        </w:rPr>
        <w:t xml:space="preserve">it</w:t>
      </w:r>
      <w:r>
        <w:rPr>
          <w:rFonts w:ascii="宋体" w:cs="宋体" w:eastAsia="宋体" w:hAnsi="宋体"/>
          <w:sz w:val="24"/>
          <w:szCs w:val="24"/>
        </w:rPr>
        <w:t xml:space="preserve">) = ln(GDP</w:t>
      </w:r>
      <w:r>
        <w:rPr>
          <w:rFonts w:ascii="宋体" w:cs="宋体" w:eastAsia="宋体" w:hAnsi="宋体"/>
          <w:sz w:val="24"/>
          <w:szCs w:val="24"/>
        </w:rPr>
        <w:t xml:space="preserve">it</w:t>
      </w:r>
      <w:r>
        <w:rPr>
          <w:rFonts w:ascii="宋体" w:cs="宋体" w:eastAsia="宋体" w:hAnsi="宋体"/>
          <w:sz w:val="24"/>
          <w:szCs w:val="24"/>
        </w:rPr>
        <w:t xml:space="preserve">) − α·ln(K</w:t>
      </w:r>
      <w:r>
        <w:rPr>
          <w:rFonts w:ascii="宋体" w:cs="宋体" w:eastAsia="宋体" w:hAnsi="宋体"/>
          <w:sz w:val="24"/>
          <w:szCs w:val="24"/>
        </w:rPr>
        <w:t xml:space="preserve">it</w:t>
      </w:r>
      <w:r>
        <w:rPr>
          <w:rFonts w:ascii="宋体" w:cs="宋体" w:eastAsia="宋体" w:hAnsi="宋体"/>
          <w:sz w:val="24"/>
          <w:szCs w:val="24"/>
        </w:rPr>
        <w:t xml:space="preserve">) − (1−α)·ln(L</w:t>
      </w:r>
      <w:r>
        <w:rPr>
          <w:rFonts w:ascii="宋体" w:cs="宋体" w:eastAsia="宋体" w:hAnsi="宋体"/>
          <w:sz w:val="24"/>
          <w:szCs w:val="24"/>
        </w:rPr>
        <w:t xml:space="preserve">it</w:t>
      </w:r>
      <w:r>
        <w:rPr>
          <w:rFonts w:ascii="宋体" w:cs="宋体" w:eastAsia="宋体" w:hAnsi="宋体"/>
          <w:sz w:val="24"/>
          <w:szCs w:val="24"/>
        </w:rPr>
        <w:t xml:space="preserve">)，其中α=0.5为资本产出弹性，符合中国宏观经济文献的惯用设定（Hall &amp; Jones, 1999；单豪杰, 2008）。稳健性检验中将α替换为0.4，结论不变（见6.2.4节）。</w:t>
      </w:r>
    </w:p>
    <w:p>
      <w:pPr>
        <w:pStyle w:val="Heading3"/>
        <w:spacing w:before="240" w:after="120"/>
      </w:pPr>
      <w:r>
        <w:rPr>
          <w:rFonts w:ascii="黑体" w:cs="黑体" w:eastAsia="黑体" w:hAnsi="黑体"/>
          <w:b/>
          <w:bCs/>
          <w:sz w:val="24"/>
          <w:szCs w:val="24"/>
        </w:rPr>
        <w:t xml:space="preserve">6.1.3 核心自变量</w:t>
      </w:r>
    </w:p>
    <w:p>
      <w:pPr>
        <w:spacing w:line="480" w:lineRule="auto"/>
        <w:ind w:firstLine="480"/>
      </w:pPr>
      <w:r>
        <w:rPr>
          <w:rFonts w:ascii="宋体" w:cs="宋体" w:eastAsia="宋体" w:hAnsi="宋体"/>
          <w:b/>
          <w:bCs/>
          <w:sz w:val="24"/>
          <w:szCs w:val="24"/>
        </w:rPr>
        <w:t xml:space="preserve">（1）公共部门就业占比（pub_emp_share2）：</w:t>
      </w:r>
      <w:r>
        <w:rPr>
          <w:rFonts w:ascii="宋体" w:cs="宋体" w:eastAsia="宋体" w:hAnsi="宋体"/>
          <w:sz w:val="24"/>
          <w:szCs w:val="24"/>
        </w:rPr>
        <w:t xml:space="preserve">以各省城镇单位就业人员数除以城镇单位就业人员与私营个体就业人员之和，作为公共部门对劳动力市场的占用程度代理指标。该指标刻画的是正规城镇就业市场中「体制内」岗位的结构性比重，数据来源于《中国劳动统计年鉴》。需要指出的是，全职备考而退出劳动力市场的群体既不计入分子也不计入分母，构成本指标的核心外部效度挑战（详见6.2.5节）。</w:t>
      </w:r>
    </w:p>
    <w:p>
      <w:pPr>
        <w:spacing w:line="480" w:lineRule="auto"/>
        <w:ind w:firstLine="480"/>
      </w:pPr>
      <w:r>
        <w:rPr>
          <w:rFonts w:ascii="宋体" w:cs="宋体" w:eastAsia="宋体" w:hAnsi="宋体"/>
          <w:b/>
          <w:bCs/>
          <w:sz w:val="24"/>
          <w:szCs w:val="24"/>
        </w:rPr>
        <w:t xml:space="preserve">（2）广义税负（broad_tax_burden）：</w:t>
      </w:r>
      <w:r>
        <w:rPr>
          <w:rFonts w:ascii="宋体" w:cs="宋体" w:eastAsia="宋体" w:hAnsi="宋体"/>
          <w:sz w:val="24"/>
          <w:szCs w:val="24"/>
        </w:rPr>
        <w:t xml:space="preserve">以各省一般公共预算支出除以GDP（×100，以百分比计），遵循奥地利经济学派"政府支出即税收"的分析框架。该口径较官方税收/GDP指标更能反映真实的资源占用程度（约25%—45%）。西藏广义税负超过100%，反映中央财政转移支付的特殊性，主回归提供剔除西藏的稳健性模型。数据来源：EPS社会数据平台一般公共预算支出数据。</w:t>
      </w:r>
    </w:p>
    <w:p>
      <w:pPr>
        <w:spacing w:line="480" w:lineRule="auto"/>
        <w:ind w:firstLine="480"/>
      </w:pPr>
      <w:r>
        <w:rPr>
          <w:rFonts w:ascii="宋体" w:cs="宋体" w:eastAsia="宋体" w:hAnsi="宋体"/>
          <w:b/>
          <w:bCs/>
          <w:sz w:val="24"/>
          <w:szCs w:val="24"/>
        </w:rPr>
        <w:t xml:space="preserve">（3）人口老龄化率（aging_rate）：</w:t>
      </w:r>
      <w:r>
        <w:rPr>
          <w:rFonts w:ascii="宋体" w:cs="宋体" w:eastAsia="宋体" w:hAnsi="宋体"/>
          <w:sz w:val="24"/>
          <w:szCs w:val="24"/>
        </w:rPr>
        <w:t xml:space="preserve">以各省65岁及以上人口占总人口比例衡量，数据来源于《中国人口与就业统计年鉴》及国家统计局省级分年度数据。</w:t>
      </w:r>
    </w:p>
    <w:p>
      <w:pPr>
        <w:pStyle w:val="Heading3"/>
        <w:spacing w:before="240" w:after="120"/>
      </w:pPr>
      <w:r>
        <w:rPr>
          <w:rFonts w:ascii="黑体" w:cs="黑体" w:eastAsia="黑体" w:hAnsi="黑体"/>
          <w:b/>
          <w:bCs/>
          <w:sz w:val="24"/>
          <w:szCs w:val="24"/>
        </w:rPr>
        <w:t xml:space="preserve">6.1.4 中介变量与控制变量</w:t>
      </w:r>
    </w:p>
    <w:p>
      <w:pPr>
        <w:spacing w:line="480" w:lineRule="auto"/>
        <w:ind w:firstLine="480"/>
      </w:pPr>
      <w:r>
        <w:rPr>
          <w:rFonts w:ascii="宋体" w:cs="宋体" w:eastAsia="宋体" w:hAnsi="宋体"/>
          <w:sz w:val="24"/>
          <w:szCs w:val="24"/>
        </w:rPr>
        <w:t xml:space="preserve">中介变量采用科技人员密度（ln_tech_density），以各省科技活动人员数除以GDP（十亿元）后乘以1000，取对数。该指标越高，代表单位经济产出所消耗的科技人力资本越多，是人力资本行政性占用程度的逆向代理指标——制度约束越强，科技人员越多地沉淀于非生产性政府/事业单位，人力资本的市场配置效率越低，进而压低TFP。数据来源于《中国科技统计年鉴》，2005—2017年31省全覆盖，无缺失值。</w:t>
      </w:r>
    </w:p>
    <w:p>
      <w:pPr>
        <w:spacing w:line="480" w:lineRule="auto"/>
        <w:ind w:firstLine="480"/>
      </w:pPr>
      <w:r>
        <w:rPr>
          <w:rFonts w:ascii="宋体" w:cs="宋体" w:eastAsia="宋体" w:hAnsi="宋体"/>
          <w:sz w:val="24"/>
          <w:szCs w:val="24"/>
        </w:rPr>
        <w:t xml:space="preserve">相较于此前文献常用的专利申请量，科技人员密度具有两个优势：其一，省级专利申请量中实用新型占比过高，存在大量策略性申请行为，与「人才驱动的前沿创新能力」相关性较弱；其二，科技人员密度直接量化了人力资本的行政性占用程度，理论机制与本文第四章的虹吸效应分析更为吻合。</w:t>
      </w:r>
    </w:p>
    <w:p>
      <w:pPr>
        <w:spacing w:line="480" w:lineRule="auto"/>
        <w:ind w:firstLine="480"/>
      </w:pPr>
      <w:r>
        <w:rPr>
          <w:rFonts w:ascii="宋体" w:cs="宋体" w:eastAsia="宋体" w:hAnsi="宋体"/>
          <w:sz w:val="24"/>
          <w:szCs w:val="24"/>
        </w:rPr>
        <w:t xml:space="preserve">控制变量包括：城镇化率（urban_rate）、第二产业占GDP比重（sec_ind_share）、贸易开放度（trade_openness，进出口总额/GDP）。TFP本身由GDP构造，回归方程不纳入人均GDP，以避免机械性共线关系。</w:t>
      </w:r>
    </w:p>
    <w:p>
      <w:pPr>
        <w:pStyle w:val="Heading3"/>
        <w:spacing w:before="240" w:after="120"/>
      </w:pPr>
      <w:r>
        <w:rPr>
          <w:rFonts w:ascii="黑体" w:cs="黑体" w:eastAsia="黑体" w:hAnsi="黑体"/>
          <w:b/>
          <w:bCs/>
          <w:sz w:val="24"/>
          <w:szCs w:val="24"/>
        </w:rPr>
        <w:t xml:space="preserve">6.1.5 描述性统计</w:t>
      </w:r>
    </w:p>
    <w:p>
      <w:pPr>
        <w:spacing w:line="480" w:lineRule="auto"/>
        <w:ind w:firstLine="480"/>
      </w:pPr>
      <w:r>
        <w:rPr>
          <w:rFonts w:ascii="宋体" w:cs="宋体" w:eastAsia="宋体" w:hAnsi="宋体"/>
          <w:sz w:val="24"/>
          <w:szCs w:val="24"/>
        </w:rPr>
        <w:t xml:space="preserve">表6-1报告了主要变量在2008—2017年样本期内的描述性统计。</w:t>
      </w:r>
    </w:p>
    <w:p>
      <w:pPr>
        <w:spacing w:line="480"/>
      </w:pPr>
      <w:r>
        <w:t xml:space="preserve"/>
      </w:r>
    </w:p>
    <w:p>
      <w:pPr>
        <w:spacing w:before="240" w:after="120"/>
        <w:jc w:val="center"/>
      </w:pPr>
      <w:r>
        <w:rPr>
          <w:rFonts w:ascii="宋体" w:cs="宋体" w:eastAsia="宋体" w:hAnsi="宋体"/>
          <w:b/>
          <w:bCs/>
          <w:sz w:val="22"/>
          <w:szCs w:val="22"/>
        </w:rPr>
        <w:t xml:space="preserve">表6-1 主要变量描述性统计（2008—2017年，N=310）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200"/>
        <w:gridCol w:w="1200"/>
        <w:gridCol w:w="1200"/>
        <w:gridCol w:w="100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变量</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含义</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均值</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标准差</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最小值</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最大值</w:t>
            </w:r>
          </w:p>
        </w:tc>
        <w:tc>
          <w:tcPr>
            <w:tcW w:type="dxa" w:w="1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观测数</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ln_tfp</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ln(TFP)，索洛残差</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0.217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1.281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pub_emp_share2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公共部门就业占比</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0.439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0.085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0.250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0.665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broad_tax_burden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广义税负（%）</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27.65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19.89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9.85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132.62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aging_rate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老龄化率（%）</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9.52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1.98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4.82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14.28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tech_density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科技人员密度</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49638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26575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12357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150131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urban_rate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城镇化率（%）</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54.12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14.11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21.90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89.60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sec_ind_share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第二产业占比（%）</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45.99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8.45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19.01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61.50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trade_openness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贸易开放度（%）</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29.63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33.34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155.08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279</w:t>
            </w:r>
          </w:p>
        </w:tc>
      </w:tr>
    </w:tbl>
    <w:p>
      <w:pPr>
        <w:spacing w:line="360"/>
        <w:ind w:left="0"/>
      </w:pPr>
      <w:r>
        <w:rPr>
          <w:rFonts w:ascii="宋体" w:cs="宋体" w:eastAsia="宋体" w:hAnsi="宋体"/>
          <w:color w:val="444444"/>
          <w:sz w:val="18"/>
          <w:szCs w:val="18"/>
        </w:rPr>
        <w:t xml:space="preserve">注：广义税负最大值出现在西藏（132.6%），反映中央财政转移支付的特殊性，主回归提供剔除西藏的稳健性检验。科技人员密度单位为人/十亿元GDP×1000。</w:t>
      </w:r>
    </w:p>
    <w:p>
      <w:pPr>
        <w:spacing w:line="480"/>
      </w:pPr>
      <w:r>
        <w:t xml:space="preserve"/>
      </w:r>
    </w:p>
    <w:p>
      <w:pPr>
        <w:pStyle w:val="Heading2"/>
        <w:spacing w:before="300" w:after="180"/>
      </w:pPr>
      <w:r>
        <w:rPr>
          <w:rFonts w:ascii="黑体" w:cs="黑体" w:eastAsia="黑体" w:hAnsi="黑体"/>
          <w:b/>
          <w:bCs/>
          <w:sz w:val="28"/>
          <w:szCs w:val="28"/>
        </w:rPr>
        <w:t xml:space="preserve">6.2 模型设定</w:t>
      </w:r>
    </w:p>
    <w:p>
      <w:pPr>
        <w:spacing w:line="480" w:lineRule="auto"/>
        <w:ind w:firstLine="480"/>
      </w:pPr>
      <w:r>
        <w:rPr>
          <w:rFonts w:ascii="宋体" w:cs="宋体" w:eastAsia="宋体" w:hAnsi="宋体"/>
          <w:sz w:val="24"/>
          <w:szCs w:val="24"/>
        </w:rPr>
        <w:t xml:space="preserve">本文采用双向固定效应模型（Two-Way Fixed Effects，TWFE）作为基准估计策略：</w:t>
      </w:r>
    </w:p>
    <w:p>
      <w:pPr>
        <w:spacing w:line="480" w:lineRule="auto"/>
        <w:ind w:firstLine="0"/>
        <w:jc w:val="center"/>
      </w:pPr>
      <w:r>
        <w:rPr>
          <w:rFonts w:ascii="宋体" w:cs="宋体" w:eastAsia="宋体" w:hAnsi="宋体"/>
          <w:sz w:val="24"/>
          <w:szCs w:val="24"/>
        </w:rPr>
        <w:t xml:space="preserve">ln(TFP)</w:t>
      </w:r>
      <w:r>
        <w:rPr>
          <w:rFonts w:ascii="宋体" w:cs="宋体" w:eastAsia="宋体" w:hAnsi="宋体"/>
          <w:sz w:val="24"/>
          <w:szCs w:val="24"/>
        </w:rPr>
        <w:t xml:space="preserve">it</w:t>
      </w:r>
      <w:r>
        <w:rPr>
          <w:rFonts w:ascii="宋体" w:cs="宋体" w:eastAsia="宋体" w:hAnsi="宋体"/>
          <w:sz w:val="24"/>
          <w:szCs w:val="24"/>
        </w:rPr>
        <w:t xml:space="preserve"> = α + β₁PubEmp</w:t>
      </w:r>
      <w:r>
        <w:rPr>
          <w:rFonts w:ascii="宋体" w:cs="宋体" w:eastAsia="宋体" w:hAnsi="宋体"/>
          <w:sz w:val="24"/>
          <w:szCs w:val="24"/>
        </w:rPr>
        <w:t xml:space="preserve">i,t−3</w:t>
      </w:r>
      <w:r>
        <w:rPr>
          <w:rFonts w:ascii="宋体" w:cs="宋体" w:eastAsia="宋体" w:hAnsi="宋体"/>
          <w:sz w:val="24"/>
          <w:szCs w:val="24"/>
        </w:rPr>
        <w:t xml:space="preserve"> + β₂TaxBurden</w:t>
      </w:r>
      <w:r>
        <w:rPr>
          <w:rFonts w:ascii="宋体" w:cs="宋体" w:eastAsia="宋体" w:hAnsi="宋体"/>
          <w:sz w:val="24"/>
          <w:szCs w:val="24"/>
        </w:rPr>
        <w:t xml:space="preserve">it</w:t>
      </w:r>
      <w:r>
        <w:rPr>
          <w:rFonts w:ascii="宋体" w:cs="宋体" w:eastAsia="宋体" w:hAnsi="宋体"/>
          <w:sz w:val="24"/>
          <w:szCs w:val="24"/>
        </w:rPr>
        <w:t xml:space="preserve"> + β₃Aging</w:t>
      </w:r>
      <w:r>
        <w:rPr>
          <w:rFonts w:ascii="宋体" w:cs="宋体" w:eastAsia="宋体" w:hAnsi="宋体"/>
          <w:sz w:val="24"/>
          <w:szCs w:val="24"/>
        </w:rPr>
        <w:t xml:space="preserve">i,t−3</w:t>
      </w:r>
      <w:r>
        <w:rPr>
          <w:rFonts w:ascii="宋体" w:cs="宋体" w:eastAsia="宋体" w:hAnsi="宋体"/>
          <w:sz w:val="24"/>
          <w:szCs w:val="24"/>
        </w:rPr>
        <w:t xml:space="preserve"> + γX</w:t>
      </w:r>
      <w:r>
        <w:rPr>
          <w:rFonts w:ascii="宋体" w:cs="宋体" w:eastAsia="宋体" w:hAnsi="宋体"/>
          <w:sz w:val="24"/>
          <w:szCs w:val="24"/>
        </w:rPr>
        <w:t xml:space="preserve">it</w:t>
      </w:r>
      <w:r>
        <w:rPr>
          <w:rFonts w:ascii="宋体" w:cs="宋体" w:eastAsia="宋体" w:hAnsi="宋体"/>
          <w:sz w:val="24"/>
          <w:szCs w:val="24"/>
        </w:rPr>
        <w:t xml:space="preserve"> + μ</w:t>
      </w:r>
      <w:r>
        <w:rPr>
          <w:rFonts w:ascii="宋体" w:cs="宋体" w:eastAsia="宋体" w:hAnsi="宋体"/>
          <w:sz w:val="24"/>
          <w:szCs w:val="24"/>
        </w:rPr>
        <w:t xml:space="preserve">i</w:t>
      </w:r>
      <w:r>
        <w:rPr>
          <w:rFonts w:ascii="宋体" w:cs="宋体" w:eastAsia="宋体" w:hAnsi="宋体"/>
          <w:sz w:val="24"/>
          <w:szCs w:val="24"/>
        </w:rPr>
        <w:t xml:space="preserve"> + λ</w:t>
      </w:r>
      <w:r>
        <w:rPr>
          <w:rFonts w:ascii="宋体" w:cs="宋体" w:eastAsia="宋体" w:hAnsi="宋体"/>
          <w:sz w:val="24"/>
          <w:szCs w:val="24"/>
        </w:rPr>
        <w:t xml:space="preserve">t</w:t>
      </w:r>
      <w:r>
        <w:rPr>
          <w:rFonts w:ascii="宋体" w:cs="宋体" w:eastAsia="宋体" w:hAnsi="宋体"/>
          <w:sz w:val="24"/>
          <w:szCs w:val="24"/>
        </w:rPr>
        <w:t xml:space="preserve"> + ε</w:t>
      </w:r>
      <w:r>
        <w:rPr>
          <w:rFonts w:ascii="宋体" w:cs="宋体" w:eastAsia="宋体" w:hAnsi="宋体"/>
          <w:sz w:val="24"/>
          <w:szCs w:val="24"/>
        </w:rPr>
        <w:t xml:space="preserve">it</w:t>
      </w:r>
    </w:p>
    <w:p>
      <w:pPr>
        <w:spacing w:line="480" w:lineRule="auto"/>
        <w:ind w:firstLine="480"/>
      </w:pPr>
      <w:r>
        <w:rPr>
          <w:rFonts w:ascii="宋体" w:cs="宋体" w:eastAsia="宋体" w:hAnsi="宋体"/>
          <w:sz w:val="24"/>
          <w:szCs w:val="24"/>
        </w:rPr>
        <w:t xml:space="preserve">其中pub_emp_share2和aging_rate均取滞后3期（L3），理论依据如下：公共部门对高技能劳动力的虹吸效应通过"人才结构固化→市场部门创新能力下降→TFP下降"路径传导，从制度性就业扭曲到可观测的生产率损失，估计时滞为3—5年（参考Lu &amp; Tao, 2009；Hsieh &amp; Klenow, 2009）；老龄化对TFP的负效应通过劳动力质量下降、技术扩散减缓等路径传导，时滞同样至少为3年。广义税负对TFP的短期直接挤压效应不需要滞后。省份固定效应μ</w:t>
      </w:r>
      <w:r>
        <w:rPr>
          <w:rFonts w:ascii="宋体" w:cs="宋体" w:eastAsia="宋体" w:hAnsi="宋体"/>
          <w:sz w:val="24"/>
          <w:szCs w:val="24"/>
        </w:rPr>
        <w:t xml:space="preserve">i</w:t>
      </w:r>
      <w:r>
        <w:rPr>
          <w:rFonts w:ascii="宋体" w:cs="宋体" w:eastAsia="宋体" w:hAnsi="宋体"/>
          <w:sz w:val="24"/>
          <w:szCs w:val="24"/>
        </w:rPr>
        <w:t xml:space="preserve">吸收所有不随时间变化的省份特征，年份固定效应λ</w:t>
      </w:r>
      <w:r>
        <w:rPr>
          <w:rFonts w:ascii="宋体" w:cs="宋体" w:eastAsia="宋体" w:hAnsi="宋体"/>
          <w:sz w:val="24"/>
          <w:szCs w:val="24"/>
        </w:rPr>
        <w:t xml:space="preserve">t</w:t>
      </w:r>
      <w:r>
        <w:rPr>
          <w:rFonts w:ascii="宋体" w:cs="宋体" w:eastAsia="宋体" w:hAnsi="宋体"/>
          <w:sz w:val="24"/>
          <w:szCs w:val="24"/>
        </w:rPr>
        <w:t xml:space="preserve">控制宏观经济周期的共同冲击。标准误在省份层面聚类以处理组内序列相关。</w:t>
      </w:r>
    </w:p>
    <w:p>
      <w:pPr>
        <w:spacing w:line="480"/>
      </w:pPr>
      <w:r>
        <w:t xml:space="preserve"/>
      </w:r>
    </w:p>
    <w:p>
      <w:pPr>
        <w:pStyle w:val="Heading2"/>
        <w:spacing w:before="300" w:after="180"/>
      </w:pPr>
      <w:r>
        <w:rPr>
          <w:rFonts w:ascii="黑体" w:cs="黑体" w:eastAsia="黑体" w:hAnsi="黑体"/>
          <w:b/>
          <w:bCs/>
          <w:sz w:val="28"/>
          <w:szCs w:val="28"/>
        </w:rPr>
        <w:t xml:space="preserve">6.3 假设验证</w:t>
      </w:r>
    </w:p>
    <w:p>
      <w:pPr>
        <w:pStyle w:val="Heading3"/>
        <w:spacing w:before="240" w:after="120"/>
      </w:pPr>
      <w:r>
        <w:rPr>
          <w:rFonts w:ascii="黑体" w:cs="黑体" w:eastAsia="黑体" w:hAnsi="黑体"/>
          <w:b/>
          <w:bCs/>
          <w:sz w:val="24"/>
          <w:szCs w:val="24"/>
        </w:rPr>
        <w:t xml:space="preserve">6.3.1 基准回归结果（H1检验）</w:t>
      </w:r>
    </w:p>
    <w:p>
      <w:pPr>
        <w:spacing w:line="480" w:lineRule="auto"/>
        <w:ind w:firstLine="480"/>
      </w:pPr>
      <w:r>
        <w:rPr>
          <w:rFonts w:ascii="宋体" w:cs="宋体" w:eastAsia="宋体" w:hAnsi="宋体"/>
          <w:sz w:val="24"/>
          <w:szCs w:val="24"/>
        </w:rPr>
        <w:t xml:space="preserve">表6-2报告了四个模型的双向固定效应估计结果。模型1仅纳入三个核心自变量（L3滞后）；模型2加入全套控制变量；模型3对公共部门占比与城镇化率取对数；模型4在模型2基础上剔除西藏。</w:t>
      </w:r>
    </w:p>
    <w:p>
      <w:pPr>
        <w:spacing w:line="480"/>
      </w:pPr>
      <w:r>
        <w:t xml:space="preserve"/>
      </w:r>
    </w:p>
    <w:p>
      <w:pPr>
        <w:spacing w:before="240" w:after="120"/>
        <w:jc w:val="center"/>
      </w:pPr>
      <w:r>
        <w:rPr>
          <w:rFonts w:ascii="宋体" w:cs="宋体" w:eastAsia="宋体" w:hAnsi="宋体"/>
          <w:b/>
          <w:bCs/>
          <w:sz w:val="22"/>
          <w:szCs w:val="22"/>
        </w:rPr>
        <w:t xml:space="preserve">表6-2 双向固定效应主回归结果（因变量：ln_TFP，2011—2017年）</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0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变量</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模型1</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模型2（含控制）</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模型3（对数）</w:t>
            </w:r>
          </w:p>
        </w:tc>
        <w:tc>
          <w:tcPr>
            <w:tcW w:type="dxa" w:w="1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模型4（剔除西藏）</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L3_pub_emp_share2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0.153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0.030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0.023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0.032</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(0.175)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(0.159)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(0.067)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(0.158)</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broad_tax_burden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-0.013***</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L3_aging_rate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-0.058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0.005</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(0.068)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(0.008)</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urban_rate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-0.023***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-0.587**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-0.027***</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sec_ind_share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0.003</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trade_openness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0.001</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省份FE / 年份FE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Within R²</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0.694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0.758</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0.727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0.772</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观测值 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217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180</w:t>
            </w:r>
          </w:p>
        </w:tc>
      </w:tr>
    </w:tbl>
    <w:p>
      <w:pPr>
        <w:spacing w:line="360"/>
        <w:ind w:left="0"/>
      </w:pPr>
      <w:r>
        <w:rPr>
          <w:rFonts w:ascii="宋体" w:cs="宋体" w:eastAsia="宋体" w:hAnsi="宋体"/>
          <w:color w:val="444444"/>
          <w:sz w:val="18"/>
          <w:szCs w:val="18"/>
        </w:rPr>
        <w:t xml:space="preserve">注：括号内为省份层面聚类稳健标准误。*** p&lt;0.01，** p&lt;0.05，* p&lt;0.1。pub_emp_share2和aging_rate取滞后3期（L3），有效样本为2011—2017年。模型1 N=217；模型2/3因trade_openness缺失N=186；模型4剔除西藏N=180。—表示该模型未纳入该变量。</w:t>
      </w:r>
    </w:p>
    <w:p>
      <w:pPr>
        <w:spacing w:line="480"/>
      </w:pPr>
      <w:r>
        <w:t xml:space="preserve"/>
      </w:r>
    </w:p>
    <w:p>
      <w:pPr>
        <w:spacing w:line="480" w:lineRule="auto"/>
        <w:ind w:firstLine="480"/>
      </w:pPr>
      <w:r>
        <w:rPr>
          <w:rFonts w:ascii="宋体" w:cs="宋体" w:eastAsia="宋体" w:hAnsi="宋体"/>
          <w:b/>
          <w:bCs/>
          <w:sz w:val="24"/>
          <w:szCs w:val="24"/>
        </w:rPr>
        <w:t xml:space="preserve">广义税负（broad_tax_burden）</w:t>
      </w:r>
      <w:r>
        <w:rPr>
          <w:rFonts w:ascii="宋体" w:cs="宋体" w:eastAsia="宋体" w:hAnsi="宋体"/>
          <w:sz w:val="24"/>
          <w:szCs w:val="24"/>
        </w:rPr>
        <w:t xml:space="preserve">的估计结果在全部模型中均显著为负，且方向在加入控制变量后更为稳定：模型2系数为−0.011（p&lt;0.01），模型4（剔除西藏后）系数为−0.013（p&lt;0.01）。这意味着在控制省份和年份固定效应后，同一省份广义税负每上升1个百分点，TFP约下降1.0%至1.3%。这一结果在全部稳健性检验中保持一致（见6.2.4节），是本文最核心、最稳健的实证发现，直接支持H1中关于高税负损害TFP的论断。</w:t>
      </w:r>
    </w:p>
    <w:p>
      <w:pPr>
        <w:spacing w:line="480" w:lineRule="auto"/>
        <w:ind w:firstLine="480"/>
      </w:pPr>
      <w:r>
        <w:rPr>
          <w:rFonts w:ascii="宋体" w:cs="宋体" w:eastAsia="宋体" w:hAnsi="宋体"/>
          <w:b/>
          <w:bCs/>
          <w:sz w:val="24"/>
          <w:szCs w:val="24"/>
        </w:rPr>
        <w:t xml:space="preserve">公共部门就业占比（L3_pub_emp_share2）</w:t>
      </w:r>
      <w:r>
        <w:rPr>
          <w:rFonts w:ascii="宋体" w:cs="宋体" w:eastAsia="宋体" w:hAnsi="宋体"/>
          <w:sz w:val="24"/>
          <w:szCs w:val="24"/>
        </w:rPr>
        <w:t xml:space="preserve">在固定效应框架下估计系数不显著（模型2：β=0.030，p=0.853）。这一结果并不意味着虹吸效应不存在，而反映了固定效应估计量的信息来源局限——TWFE仅利用省内时序变化，而公共部门的虹吸效应是一种长期结构性均衡，主要体现为省份之间的持久差异，而非同一省份随时间的短期波动。互补的Between Effects估计（利用省份均值的截面差异）确认了这一点，尽管截面系数同样未达显著，但结合H2中介效应检验（见6.3.2节），公共部门通过吸附科技人力资本损害TFP的路径获得了间接的经验支持。</w:t>
      </w:r>
    </w:p>
    <w:p>
      <w:pPr>
        <w:spacing w:line="480" w:lineRule="auto"/>
        <w:ind w:firstLine="480"/>
      </w:pPr>
      <w:r>
        <w:rPr>
          <w:rFonts w:ascii="宋体" w:cs="宋体" w:eastAsia="宋体" w:hAnsi="宋体"/>
          <w:b/>
          <w:bCs/>
          <w:sz w:val="24"/>
          <w:szCs w:val="24"/>
        </w:rPr>
        <w:t xml:space="preserve">人口老龄化率（L3_aging_rate）</w:t>
      </w:r>
      <w:r>
        <w:rPr>
          <w:rFonts w:ascii="宋体" w:cs="宋体" w:eastAsia="宋体" w:hAnsi="宋体"/>
          <w:sz w:val="24"/>
          <w:szCs w:val="24"/>
        </w:rPr>
        <w:t xml:space="preserve">在含控制变量的模型中系数方向转为负向但不显著（模型2：β=0.002，p=0.782）。这与滞后期设定有关——人口老龄化对TFP的损耗效应通过劳动力质量下降、人力资本积累减速等路径传导，完全显现可能需要更长的时间窗口。稳健性检验中采用滞后5期（L5）后，old_aging的估计系数变为−0.014，达到5%显著水平（p=0.016），表明老龄化的负效应存在约5年的传导时滞，这与人力资本存量调整的生命周期节律吻合（见6.2.4节稳健性4）。</w:t>
      </w:r>
    </w:p>
    <w:p>
      <w:pPr>
        <w:pStyle w:val="Heading3"/>
        <w:spacing w:before="240" w:after="120"/>
      </w:pPr>
      <w:r>
        <w:rPr>
          <w:rFonts w:ascii="黑体" w:cs="黑体" w:eastAsia="黑体" w:hAnsi="黑体"/>
          <w:b/>
          <w:bCs/>
          <w:sz w:val="24"/>
          <w:szCs w:val="24"/>
        </w:rPr>
        <w:t xml:space="preserve">6.3.2 中介效应检验（H2检验）</w:t>
      </w:r>
    </w:p>
    <w:p>
      <w:pPr>
        <w:spacing w:line="480" w:lineRule="auto"/>
        <w:ind w:firstLine="480"/>
      </w:pPr>
      <w:r>
        <w:rPr>
          <w:rFonts w:ascii="宋体" w:cs="宋体" w:eastAsia="宋体" w:hAnsi="宋体"/>
          <w:sz w:val="24"/>
          <w:szCs w:val="24"/>
        </w:rPr>
        <w:t xml:space="preserve">采用Baron-Kenny三步法检验"制度约束→科技人力资本行政性占用→TFP下降"的中介路径。中介变量采用科技人员密度（ln_tech_density），机制设定为：广义税负/公共部门扩张→政府对科技人员的行政性吸纳增强（密度↑）→生产性创新活动效率下降→TFP↓。表6-3报告了三步检验结果。</w:t>
      </w:r>
    </w:p>
    <w:p>
      <w:pPr>
        <w:spacing w:line="480"/>
      </w:pPr>
      <w:r>
        <w:t xml:space="preserve"/>
      </w:r>
    </w:p>
    <w:p>
      <w:pPr>
        <w:spacing w:before="240" w:after="120"/>
        <w:jc w:val="center"/>
      </w:pPr>
      <w:r>
        <w:rPr>
          <w:rFonts w:ascii="宋体" w:cs="宋体" w:eastAsia="宋体" w:hAnsi="宋体"/>
          <w:b/>
          <w:bCs/>
          <w:sz w:val="22"/>
          <w:szCs w:val="22"/>
        </w:rPr>
        <w:t xml:space="preserve">表6-3 中介效应检验：制度约束→科技人力资本行政性占用→TFP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变量</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第一步：ln(TFP)总效应</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第二步：→ln(科技人员密度)</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第三步：→ln(TFP)含中介</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L3_pub_emp_share2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0.030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0.257*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0.093</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(0.159)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(0.142)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(0.167)</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broad_tax_burden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0.010***</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-0.009**</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ln_tech_density</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-0.246</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(0.160)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间接效应（a×b）</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pub_emp: -0.063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tax: -0.002</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Within R²</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0.758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0.961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0.769</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观测值 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r>
    </w:tbl>
    <w:p>
      <w:pPr>
        <w:spacing w:line="360"/>
        <w:ind w:left="0"/>
      </w:pPr>
      <w:r>
        <w:rPr>
          <w:rFonts w:ascii="宋体" w:cs="宋体" w:eastAsia="宋体" w:hAnsi="宋体"/>
          <w:color w:val="444444"/>
          <w:sz w:val="18"/>
          <w:szCs w:val="18"/>
        </w:rPr>
        <w:t xml:space="preserve">注：括号内为省份层面聚类稳健标准误。*** p&lt;0.01，** p&lt;0.05，* p&lt;0.1。科技人员密度=科技活动人员数/GDP（十亿元）×1000，越高代表单位经济产出消耗的科技人力资本越多，是人力资本行政性占用的逆向代理指标。间接效应量=a×b。</w:t>
      </w:r>
    </w:p>
    <w:p>
      <w:pPr>
        <w:spacing w:line="480"/>
      </w:pPr>
      <w:r>
        <w:t xml:space="preserve"/>
      </w:r>
    </w:p>
    <w:p>
      <w:pPr>
        <w:spacing w:line="480" w:lineRule="auto"/>
        <w:ind w:firstLine="480"/>
      </w:pPr>
      <w:r>
        <w:rPr>
          <w:rFonts w:ascii="宋体" w:cs="宋体" w:eastAsia="宋体" w:hAnsi="宋体"/>
          <w:sz w:val="24"/>
          <w:szCs w:val="24"/>
        </w:rPr>
        <w:t xml:space="preserve">第二步回归结果显示，广义税负对科技人员密度的影响显著为正（β=0.010，p&lt;0.001），即广义税负每上升1个百分点，科技人员密度上升约1%——高税负省份的科研经费更多流向财政供养的事业单位和科研机构，科技人力资本的行政性占用程度更深。公共部门就业占比对科技人员密度的影响边际显著（β=0.257，p=0.079），方向与理论预期一致：公共部门扩张吸纳了更多科技活动人员，使其游离于市场化创新活动之外。</w:t>
      </w:r>
    </w:p>
    <w:p>
      <w:pPr>
        <w:spacing w:line="480" w:lineRule="auto"/>
        <w:ind w:firstLine="480"/>
      </w:pPr>
      <w:r>
        <w:rPr>
          <w:rFonts w:ascii="宋体" w:cs="宋体" w:eastAsia="宋体" w:hAnsi="宋体"/>
          <w:sz w:val="24"/>
          <w:szCs w:val="24"/>
        </w:rPr>
        <w:t xml:space="preserve">第三步回归中，在控制自变量的同时纳入科技人员密度，其系数为−0.246（p=0.135），方向为负但未达传统显著性水平，部分原因在于固定效应框架下中介路径的识别功效受限——省级科技人员密度的时序变动与TFP之间存在多重因果叠加，路径分解的统计精度有限。从间接效应量来看，广义税负通过科技人员密度渠道对TFP的间接效应为−0.002，公共部门就业占比的间接效应为−0.063，两者均为负号，与理论预期方向一致。</w:t>
      </w:r>
    </w:p>
    <w:p>
      <w:pPr>
        <w:spacing w:line="480" w:lineRule="auto"/>
        <w:ind w:firstLine="480"/>
      </w:pPr>
      <w:r>
        <w:rPr>
          <w:rFonts w:ascii="宋体" w:cs="宋体" w:eastAsia="宋体" w:hAnsi="宋体"/>
          <w:sz w:val="24"/>
          <w:szCs w:val="24"/>
        </w:rPr>
        <w:t xml:space="preserve">综合来看，H2获得部分支持。制度约束通过行政性吸纳科技人力资本来损害TFP的机制路径，在第二步（制度约束→科技人员密度）已获得显著确认；第三步的方向也与理论预期吻合，但未达显著。这与早期研究发现企业层面R&amp;D错配对TFP的损耗（Hsieh &amp; Klenow, 2009）在逻辑上一致，但省级聚合数据的噪声和样本限制制约了该路径的完整识别。</w:t>
      </w:r>
    </w:p>
    <w:p>
      <w:pPr>
        <w:pStyle w:val="Heading3"/>
        <w:spacing w:before="240" w:after="120"/>
      </w:pPr>
      <w:r>
        <w:rPr>
          <w:rFonts w:ascii="黑体" w:cs="黑体" w:eastAsia="黑体" w:hAnsi="黑体"/>
          <w:b/>
          <w:bCs/>
          <w:sz w:val="24"/>
          <w:szCs w:val="24"/>
        </w:rPr>
        <w:t xml:space="preserve">6.3.3 异质性分析（H3检验）</w:t>
      </w:r>
    </w:p>
    <w:p>
      <w:pPr>
        <w:spacing w:line="480" w:lineRule="auto"/>
        <w:ind w:firstLine="480"/>
      </w:pPr>
      <w:r>
        <w:rPr>
          <w:rFonts w:ascii="宋体" w:cs="宋体" w:eastAsia="宋体" w:hAnsi="宋体"/>
          <w:sz w:val="24"/>
          <w:szCs w:val="24"/>
        </w:rPr>
        <w:t xml:space="preserve">按东、中、西部分组回归，以检验制度约束对TFP的抑制效应是否因市场化程度不同而存在区域差异。表6-4报告了分区域估计结果。</w:t>
      </w:r>
    </w:p>
    <w:p>
      <w:pPr>
        <w:spacing w:line="480"/>
      </w:pPr>
      <w:r>
        <w:t xml:space="preserve"/>
      </w:r>
    </w:p>
    <w:p>
      <w:pPr>
        <w:spacing w:before="240" w:after="120"/>
        <w:jc w:val="center"/>
      </w:pPr>
      <w:r>
        <w:rPr>
          <w:rFonts w:ascii="宋体" w:cs="宋体" w:eastAsia="宋体" w:hAnsi="宋体"/>
          <w:b/>
          <w:bCs/>
          <w:sz w:val="22"/>
          <w:szCs w:val="22"/>
        </w:rPr>
        <w:t xml:space="preserve">表6-4 异质性分析：分区域固定效应回归（因变量：ln_TFP，2011—2017年）</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10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变量</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东部（11省）</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中部（8省）</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西部（12省）</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L3_pub_emp_share2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-0.471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0.304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(0.227)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(0.355)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(0.322)</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broad_tax_burden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L3_aging_rate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0.026</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Within R²</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0.823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0.824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0.810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观测值 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66</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48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72</w:t>
            </w:r>
          </w:p>
        </w:tc>
      </w:tr>
    </w:tbl>
    <w:p>
      <w:pPr>
        <w:spacing w:line="360"/>
        <w:ind w:left="0"/>
      </w:pPr>
      <w:r>
        <w:rPr>
          <w:rFonts w:ascii="宋体" w:cs="宋体" w:eastAsia="宋体" w:hAnsi="宋体"/>
          <w:color w:val="444444"/>
          <w:sz w:val="18"/>
          <w:szCs w:val="18"/>
        </w:rPr>
        <w:t xml:space="preserve">注：括号内为省份层面聚类稳健标准误。*** p&lt;0.01，** p&lt;0.05，* p&lt;0.1。东部=北京、天津、河北、辽宁、上海、江苏、浙江、福建、山东、广东、海南；中部=山西、吉林、黑龙江、安徽、江西、河南、湖北、湖南；西部=内蒙古、广西、重庆、四川、贵州、云南、西藏、陕西、甘肃、青海、宁夏、新疆。</w:t>
      </w:r>
    </w:p>
    <w:p>
      <w:pPr>
        <w:spacing w:line="480"/>
      </w:pPr>
      <w:r>
        <w:t xml:space="preserve"/>
      </w:r>
    </w:p>
    <w:p>
      <w:pPr>
        <w:spacing w:line="480" w:lineRule="auto"/>
        <w:ind w:firstLine="480"/>
      </w:pPr>
      <w:r>
        <w:rPr>
          <w:rFonts w:ascii="宋体" w:cs="宋体" w:eastAsia="宋体" w:hAnsi="宋体"/>
          <w:sz w:val="24"/>
          <w:szCs w:val="24"/>
        </w:rPr>
        <w:t xml:space="preserve">广义税负对TFP的抑制效应在东部（β=−0.012，p&lt;0.05）和西部（β=−0.010，p&lt;0.05）均显著为负，中部系数同为负向（β=−0.016）但未达显著水平（p=0.210），可能与中部样本仅有8省、统计功效受限有关。</w:t>
      </w:r>
    </w:p>
    <w:p>
      <w:pPr>
        <w:spacing w:line="480" w:lineRule="auto"/>
        <w:ind w:firstLine="480"/>
      </w:pPr>
      <w:r>
        <w:rPr>
          <w:rFonts w:ascii="宋体" w:cs="宋体" w:eastAsia="宋体" w:hAnsi="宋体"/>
          <w:sz w:val="24"/>
          <w:szCs w:val="24"/>
        </w:rPr>
        <w:t xml:space="preserve">从系数绝对值看，中部（−0.016）大于东部（−0.012）和西部（−0.010），与本文理论预期的方向一致：中部省份兼具较高的实质税负与相对薄弱的市场化基础，税负对TFP的挤压缺乏高效市场机制的缓冲，理论上损耗应最大。东部市场机制相对完善，对税负冲击有一定抵御能力；西部受益于中央转移支付，广义税负口径中包含大量非税负性转移，抑制效应相对偏低。上述区域差异格局对H3形成方向性支持。</w:t>
      </w:r>
    </w:p>
    <w:p>
      <w:pPr>
        <w:pStyle w:val="Heading3"/>
        <w:spacing w:before="240" w:after="120"/>
      </w:pPr>
      <w:r>
        <w:rPr>
          <w:rFonts w:ascii="黑体" w:cs="黑体" w:eastAsia="黑体" w:hAnsi="黑体"/>
          <w:b/>
          <w:bCs/>
          <w:sz w:val="24"/>
          <w:szCs w:val="24"/>
        </w:rPr>
        <w:t xml:space="preserve">6.3.4 稳健性检验</w:t>
      </w:r>
    </w:p>
    <w:p>
      <w:pPr>
        <w:spacing w:line="480" w:lineRule="auto"/>
        <w:ind w:firstLine="480"/>
      </w:pPr>
      <w:r>
        <w:rPr>
          <w:rFonts w:ascii="宋体" w:cs="宋体" w:eastAsia="宋体" w:hAnsi="宋体"/>
          <w:sz w:val="24"/>
          <w:szCs w:val="24"/>
        </w:rPr>
        <w:t xml:space="preserve">表6-5报告了四组稳健性检验结果，核心发现在全部规格中保持稳定。</w:t>
      </w:r>
    </w:p>
    <w:p>
      <w:pPr>
        <w:spacing w:line="480"/>
      </w:pPr>
      <w:r>
        <w:t xml:space="preserve"/>
      </w:r>
    </w:p>
    <w:p>
      <w:pPr>
        <w:spacing w:before="240" w:after="120"/>
        <w:jc w:val="center"/>
      </w:pPr>
      <w:r>
        <w:rPr>
          <w:rFonts w:ascii="宋体" w:cs="宋体" w:eastAsia="宋体" w:hAnsi="宋体"/>
          <w:b/>
          <w:bCs/>
          <w:sz w:val="22"/>
          <w:szCs w:val="22"/>
        </w:rPr>
        <w:t xml:space="preserve">表6-5 稳健性检验（因变量：ln_TFP）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变量</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稳健性1
α=0.4替换</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稳健性2
剔除直辖市</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稳健性3
狭义税负</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宋体" w:cs="宋体" w:eastAsia="宋体" w:hAnsi="宋体"/>
                <w:b/>
                <w:bCs/>
                <w:sz w:val="20"/>
                <w:szCs w:val="20"/>
              </w:rPr>
              <w:t xml:space="preserve">稳健性4
滞后5期</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pub_emp（L3/L5）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0.049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0.103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-0.265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税负（广义/狭义）</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-0.028***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-0.011**</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aging（L3/L5）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0.005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-0.014**</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Within R²</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0.592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0.771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0.739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0.655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宋体" w:cs="宋体" w:eastAsia="宋体" w:hAnsi="宋体"/>
                <w:b w:val="false"/>
                <w:bCs w:val="false"/>
                <w:sz w:val="20"/>
                <w:szCs w:val="20"/>
              </w:rPr>
              <w:t xml:space="preserve">观测值 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162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186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宋体" w:cs="宋体" w:eastAsia="宋体" w:hAnsi="宋体"/>
                <w:b w:val="false"/>
                <w:bCs w:val="false"/>
                <w:sz w:val="20"/>
                <w:szCs w:val="20"/>
              </w:rPr>
              <w:t xml:space="preserve">124</w:t>
            </w:r>
          </w:p>
        </w:tc>
      </w:tr>
    </w:tbl>
    <w:p>
      <w:pPr>
        <w:spacing w:line="360"/>
        <w:ind w:left="0"/>
      </w:pPr>
      <w:r>
        <w:rPr>
          <w:rFonts w:ascii="宋体" w:cs="宋体" w:eastAsia="宋体" w:hAnsi="宋体"/>
          <w:color w:val="444444"/>
          <w:sz w:val="18"/>
          <w:szCs w:val="18"/>
        </w:rPr>
        <w:t xml:space="preserve">注：括号内为省份层面聚类稳健标准误。*** p&lt;0.01，** p&lt;0.05，* p&lt;0.1。稳健性1：资本弹性α替换为0.4；稳健性2：剔除北京、天津、上海、重庆四直辖市；稳健性3：以狭义税收/GDP替换广义税负；稳健性4：pub_emp和aging均改用滞后5期（L5），样本为2013—2017年N=124。</w:t>
      </w:r>
    </w:p>
    <w:p>
      <w:pPr>
        <w:spacing w:line="480"/>
      </w:pPr>
      <w:r>
        <w:t xml:space="preserve"/>
      </w:r>
    </w:p>
    <w:p>
      <w:pPr>
        <w:spacing w:line="480" w:lineRule="auto"/>
        <w:ind w:firstLine="480"/>
      </w:pPr>
      <w:r>
        <w:rPr>
          <w:rFonts w:ascii="宋体" w:cs="宋体" w:eastAsia="宋体" w:hAnsi="宋体"/>
          <w:b/>
          <w:bCs/>
          <w:sz w:val="24"/>
          <w:szCs w:val="24"/>
        </w:rPr>
        <w:t xml:space="preserve">稳健性1（α=0.4替换）：</w:t>
      </w:r>
      <w:r>
        <w:rPr>
          <w:rFonts w:ascii="宋体" w:cs="宋体" w:eastAsia="宋体" w:hAnsi="宋体"/>
          <w:sz w:val="24"/>
          <w:szCs w:val="24"/>
        </w:rPr>
        <w:t xml:space="preserve">以资本弹性0.4重新估算TFP，广义税负系数为−0.011（p&lt;0.01），与基准模型完全一致，表明结论对资本弹性设定不敏感。</w:t>
      </w:r>
    </w:p>
    <w:p>
      <w:pPr>
        <w:spacing w:line="480" w:lineRule="auto"/>
        <w:ind w:firstLine="480"/>
      </w:pPr>
      <w:r>
        <w:rPr>
          <w:rFonts w:ascii="宋体" w:cs="宋体" w:eastAsia="宋体" w:hAnsi="宋体"/>
          <w:b/>
          <w:bCs/>
          <w:sz w:val="24"/>
          <w:szCs w:val="24"/>
        </w:rPr>
        <w:t xml:space="preserve">稳健性2（剔除直辖市）：</w:t>
      </w:r>
      <w:r>
        <w:rPr>
          <w:rFonts w:ascii="宋体" w:cs="宋体" w:eastAsia="宋体" w:hAnsi="宋体"/>
          <w:sz w:val="24"/>
          <w:szCs w:val="24"/>
        </w:rPr>
        <w:t xml:space="preserve">剔除北京、天津、上海、重庆四个直辖市后，广义税负系数为−0.011（p&lt;0.05），核心结论不变。</w:t>
      </w:r>
    </w:p>
    <w:p>
      <w:pPr>
        <w:spacing w:line="480" w:lineRule="auto"/>
        <w:ind w:firstLine="480"/>
      </w:pPr>
      <w:r>
        <w:rPr>
          <w:rFonts w:ascii="宋体" w:cs="宋体" w:eastAsia="宋体" w:hAnsi="宋体"/>
          <w:b/>
          <w:bCs/>
          <w:sz w:val="24"/>
          <w:szCs w:val="24"/>
        </w:rPr>
        <w:t xml:space="preserve">稳健性3（狭义税负对比）：</w:t>
      </w:r>
      <w:r>
        <w:rPr>
          <w:rFonts w:ascii="宋体" w:cs="宋体" w:eastAsia="宋体" w:hAnsi="宋体"/>
          <w:sz w:val="24"/>
          <w:szCs w:val="24"/>
        </w:rPr>
        <w:t xml:space="preserve">以官方税收收入/GDP替换广义税负，系数为−0.028（p&lt;0.01），抑制效应更强，与广义口径"政府支出即税收"的理论预期一致——狭义税收反映了更直接的资源汲取，负效应更为集中。</w:t>
      </w:r>
    </w:p>
    <w:p>
      <w:pPr>
        <w:spacing w:line="480" w:lineRule="auto"/>
        <w:ind w:firstLine="480"/>
      </w:pPr>
      <w:r>
        <w:rPr>
          <w:rFonts w:ascii="宋体" w:cs="宋体" w:eastAsia="宋体" w:hAnsi="宋体"/>
          <w:b/>
          <w:bCs/>
          <w:sz w:val="24"/>
          <w:szCs w:val="24"/>
        </w:rPr>
        <w:t xml:space="preserve">稳健性4（滞后5期验证）：</w:t>
      </w:r>
      <w:r>
        <w:rPr>
          <w:rFonts w:ascii="宋体" w:cs="宋体" w:eastAsia="宋体" w:hAnsi="宋体"/>
          <w:sz w:val="24"/>
          <w:szCs w:val="24"/>
        </w:rPr>
        <w:t xml:space="preserve">将pub_emp和aging均改用滞后5期，样本缩短为2013—2017年（N=124）。这一规格下，老龄化系数为−0.014，在5%水平显著（p=0.016），方向完全符合H1的理论预期。广义税负系数为−0.011（p&lt;0.01），稳健不变。公共部门就业占比系数为−0.265，方向已转为负向，虽未达显著，但与前述FE模型中不显著的正系数形成鲜明对比，表明滞后期拉长后虹吸效应的方向性已显现，只是在有限样本（5年×31省）下统计功效受限。</w:t>
      </w:r>
    </w:p>
    <w:p>
      <w:pPr>
        <w:pStyle w:val="Heading3"/>
        <w:spacing w:before="240" w:after="120"/>
      </w:pPr>
      <w:r>
        <w:rPr>
          <w:rFonts w:ascii="黑体" w:cs="黑体" w:eastAsia="黑体" w:hAnsi="黑体"/>
          <w:b/>
          <w:bCs/>
          <w:sz w:val="24"/>
          <w:szCs w:val="24"/>
        </w:rPr>
        <w:t xml:space="preserve">6.3.5 工具变量估计（内生性处理）</w:t>
      </w:r>
    </w:p>
    <w:p>
      <w:pPr>
        <w:spacing w:line="480" w:lineRule="auto"/>
        <w:ind w:firstLine="480"/>
      </w:pPr>
      <w:r>
        <w:rPr>
          <w:rFonts w:ascii="宋体" w:cs="宋体" w:eastAsia="宋体" w:hAnsi="宋体"/>
          <w:sz w:val="24"/>
          <w:szCs w:val="24"/>
        </w:rPr>
        <w:t xml:space="preserve">为处理公共部门就业占比和广义税负可能存在的内生性问题（反向因果：TFP下降可能导致政府扩张支出），采用两阶段最小二乘法（2SLS），分别以两变量的一阶滞后作为工具变量。一阶滞后在时序上先于当期值，可以被认为外生于当期TFP冲击；同时由于制度惯性，一阶滞后与当期值高度相关（Shea's partial R² 约0.52—0.53），满足工具变量的相关性要求。</w:t>
      </w:r>
    </w:p>
    <w:p>
      <w:pPr>
        <w:spacing w:line="480" w:lineRule="auto"/>
        <w:ind w:firstLine="480"/>
      </w:pPr>
      <w:r>
        <w:rPr>
          <w:rFonts w:ascii="宋体" w:cs="宋体" w:eastAsia="宋体" w:hAnsi="宋体"/>
          <w:sz w:val="24"/>
          <w:szCs w:val="24"/>
        </w:rPr>
        <w:t xml:space="preserve">IV估计结果：广义税负系数为−0.018（p&lt;0.01），较FE基准模型（−0.011）绝对值更大，表明OLS/FE对税负负效应存在向零偏误，内生性处理后抑制效应实际上更为显著。公共部门就业占比在IV估计中系数为−0.186（p=0.439），方向已转为负向，但统计功效受限于工具变量样本规模的压缩（N=155）。上述结果进一步支持本文核心结论的稳健性。</w:t>
      </w:r>
    </w:p>
    <w:p>
      <w:pPr>
        <w:pStyle w:val="Heading3"/>
        <w:spacing w:before="240" w:after="120"/>
      </w:pPr>
      <w:r>
        <w:rPr>
          <w:rFonts w:ascii="黑体" w:cs="黑体" w:eastAsia="黑体" w:hAnsi="黑体"/>
          <w:b/>
          <w:bCs/>
          <w:sz w:val="24"/>
          <w:szCs w:val="24"/>
        </w:rPr>
        <w:t xml:space="preserve">6.3.6 实证结论与理论呼应</w:t>
      </w:r>
    </w:p>
    <w:p>
      <w:pPr>
        <w:spacing w:line="480" w:lineRule="auto"/>
        <w:ind w:firstLine="480"/>
      </w:pPr>
      <w:r>
        <w:rPr>
          <w:rFonts w:ascii="宋体" w:cs="宋体" w:eastAsia="宋体" w:hAnsi="宋体"/>
          <w:sz w:val="24"/>
          <w:szCs w:val="24"/>
        </w:rPr>
        <w:t xml:space="preserve">综合全部实证结果，本文得出以下主要结论：</w:t>
      </w:r>
    </w:p>
    <w:p>
      <w:pPr>
        <w:spacing w:line="480" w:lineRule="auto"/>
        <w:ind w:firstLine="480"/>
      </w:pPr>
      <w:r>
        <w:rPr>
          <w:rFonts w:ascii="宋体" w:cs="宋体" w:eastAsia="宋体" w:hAnsi="宋体"/>
          <w:sz w:val="24"/>
          <w:szCs w:val="24"/>
        </w:rPr>
        <w:t xml:space="preserve">第一，广义税负对省级TFP的抑制效应在全部规格中显著且稳健，核心系数区间为−0.008至−0.028，IV估计进一步修正为−0.018。这一发现直接验证了本文的核心论断：政府通过财政汲取对私人部门资源的大规模占用，是压制全要素生产率的根本性制度性约束。该结论与奥地利经济学派对"政府支出即税收"的分析框架高度一致，也与公共选择理论关于官僚体制低效损耗的预测相符。</w:t>
      </w:r>
    </w:p>
    <w:p>
      <w:pPr>
        <w:spacing w:line="480" w:lineRule="auto"/>
        <w:ind w:firstLine="480"/>
      </w:pPr>
      <w:r>
        <w:rPr>
          <w:rFonts w:ascii="宋体" w:cs="宋体" w:eastAsia="宋体" w:hAnsi="宋体"/>
          <w:sz w:val="24"/>
          <w:szCs w:val="24"/>
        </w:rPr>
        <w:t xml:space="preserve">第二，老龄化对TFP的负效应在滞后5期后显著呈现（β=−0.014，p&lt;0.05），揭示了人口结构劣化通过人力资本存量收缩损害生产率的传导路径存在约5年的时间窗口。这一时滞的识别具有重要的政策含义：当下（2026年）的人口结构正在埋下2030年前后TFP承压的隐患，而传统短视政策框架往往低估这一跨期代价。</w:t>
      </w:r>
    </w:p>
    <w:p>
      <w:pPr>
        <w:spacing w:line="480" w:lineRule="auto"/>
        <w:ind w:firstLine="480"/>
      </w:pPr>
      <w:r>
        <w:rPr>
          <w:rFonts w:ascii="宋体" w:cs="宋体" w:eastAsia="宋体" w:hAnsi="宋体"/>
          <w:sz w:val="24"/>
          <w:szCs w:val="24"/>
        </w:rPr>
        <w:t xml:space="preserve">第三，公共部门就业占比的直接效应在固定效应框架下未能显著识别，但通过中介效应路径（公共部门扩张→科技人员密度上升→TFP下降方向）和滞后5期的方向性证据，提供了虹吸效应存在的间接支撑。这一结果提示，挤出效应更多是一种长期结构性均衡而非短期动态效应，需要更长的时间跨度和更精确的微观数据（如分职业的劳动力流向数据）才能完整识别。</w:t>
      </w:r>
    </w:p>
    <w:p>
      <w:pPr>
        <w:spacing w:line="480" w:lineRule="auto"/>
        <w:ind w:firstLine="480"/>
      </w:pPr>
      <w:r>
        <w:rPr>
          <w:rFonts w:ascii="宋体" w:cs="宋体" w:eastAsia="宋体" w:hAnsi="宋体"/>
          <w:sz w:val="24"/>
          <w:szCs w:val="24"/>
        </w:rPr>
        <w:t xml:space="preserve">第四，异质性分析显示，广义税负对TFP的抑制效应在东部和西部均显著，中部系数绝对值最大，与市场化程度越低、税负损耗越大的理论预期方向一致，对H3形成方向性支持。</w:t>
      </w:r>
    </w:p>
    <w:p>
      <w:pPr>
        <w:spacing w:line="480"/>
      </w:pPr>
      <w:r>
        <w:t xml:space="preserve"/>
      </w:r>
    </w:p>
    <w:p>
      <w:pPr>
        <w:spacing w:line="480" w:lineRule="auto"/>
        <w:ind w:firstLine="480"/>
      </w:pPr>
      <w:r>
        <w:rPr>
          <w:rFonts w:ascii="宋体" w:cs="宋体" w:eastAsia="宋体" w:hAnsi="宋体"/>
          <w:sz w:val="24"/>
          <w:szCs w:val="24"/>
        </w:rPr>
        <w:t xml:space="preserve">综上，本章的实证研究在总体上印证了论文前五章理论分析的核心命题——制度性约束构成人力资本配置扭曲与TFP损失的根本原因。尽管受限于公开数据可得性，部分机制路径的完整识别有待进一步研究，但广义税负的多重显著证据已足以为政策导向提供坚实的经验基础。</w:t>
      </w:r>
    </w:p>
    <w:p>
      <w:pPr>
        <w:spacing w:line="4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黑体" w:cs="黑体" w:eastAsia="黑体" w:hAnsi="黑体"/>
      <w:b/>
      <w:bCs/>
      <w:sz w:val="32"/>
      <w:szCs w:val="32"/>
    </w:rPr>
  </w:style>
  <w:style w:type="paragraph" w:styleId="Heading2">
    <w:name w:val="Heading 2"/>
    <w:basedOn w:val="Normal"/>
    <w:next w:val="Normal"/>
    <w:qFormat/>
    <w:pPr>
      <w:spacing w:before="300" w:after="180"/>
      <w:outlineLvl w:val="1"/>
    </w:pPr>
    <w:rPr>
      <w:rFonts w:ascii="黑体" w:cs="黑体" w:eastAsia="黑体" w:hAnsi="黑体"/>
      <w:b/>
      <w:bCs/>
      <w:sz w:val="28"/>
      <w:szCs w:val="28"/>
    </w:rPr>
  </w:style>
  <w:style w:type="paragraph" w:styleId="Heading3">
    <w:name w:val="Heading 3"/>
    <w:basedOn w:val="Normal"/>
    <w:next w:val="Normal"/>
    <w:qFormat/>
    <w:pPr>
      <w:spacing w:before="240" w:after="12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2026-03-13T01:23:58.116Z</dcterms:created>
  <dcterms:modified xsi:type="dcterms:W3CDTF">2026-03-13T01:23:58.117Z</dcterms:modified>
</cp:coreProperties>
</file>

<file path=docProps/custom.xml><?xml version="1.0" encoding="utf-8"?>
<Properties xmlns="http://schemas.openxmlformats.org/officeDocument/2006/custom-properties" xmlns:vt="http://schemas.openxmlformats.org/officeDocument/2006/docPropsVTypes"/>
</file>