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B4B16">
      <w:pPr>
        <w:jc w:val="center"/>
        <w:rPr>
          <w:rFonts w:ascii="Times New Roman" w:hAnsi="Times New Roman" w:eastAsia="华文楷体" w:cs="Times New Roman"/>
          <w:b/>
          <w:bCs/>
          <w:sz w:val="28"/>
          <w:szCs w:val="28"/>
        </w:rPr>
      </w:pPr>
      <w:r>
        <w:rPr>
          <w:rFonts w:ascii="Times New Roman" w:hAnsi="Times New Roman" w:eastAsia="华文楷体" w:cs="Times New Roman"/>
          <w:b/>
          <w:bCs/>
          <w:sz w:val="28"/>
          <w:szCs w:val="28"/>
        </w:rPr>
        <w:t>股指期货贴水增强策略研究报告</w:t>
      </w:r>
    </w:p>
    <w:p w14:paraId="399EE26D">
      <w:pPr>
        <w:jc w:val="center"/>
        <w:rPr>
          <w:rFonts w:ascii="Times New Roman" w:hAnsi="Times New Roman" w:eastAsia="华文楷体" w:cs="Times New Roman"/>
          <w:sz w:val="28"/>
          <w:szCs w:val="28"/>
        </w:rPr>
      </w:pPr>
    </w:p>
    <w:p w14:paraId="1F613FEC">
      <w:pPr>
        <w:rPr>
          <w:rFonts w:hint="default" w:ascii="Times New Roman" w:hAnsi="Times New Roman" w:eastAsia="华文楷体" w:cs="Times New Roman"/>
          <w:szCs w:val="21"/>
          <w:lang w:val="en-US" w:eastAsia="zh-CN"/>
        </w:rPr>
      </w:pPr>
      <w:r>
        <w:rPr>
          <w:rFonts w:hint="eastAsia" w:ascii="Times New Roman" w:hAnsi="Times New Roman" w:eastAsia="华文楷体" w:cs="Times New Roman"/>
          <w:szCs w:val="21"/>
        </w:rPr>
        <w:t>团队成员</w:t>
      </w:r>
      <w:r>
        <w:rPr>
          <w:rFonts w:ascii="Times New Roman" w:hAnsi="Times New Roman" w:eastAsia="华文楷体" w:cs="Times New Roman"/>
          <w:szCs w:val="21"/>
        </w:rPr>
        <w:t xml:space="preserve">:  </w:t>
      </w:r>
      <w:r>
        <w:rPr>
          <w:rFonts w:hint="eastAsia" w:ascii="Times New Roman" w:hAnsi="Times New Roman" w:eastAsia="华文楷体" w:cs="Times New Roman"/>
          <w:szCs w:val="21"/>
        </w:rPr>
        <w:t>学号</w:t>
      </w:r>
      <w:r>
        <w:rPr>
          <w:rFonts w:ascii="Times New Roman" w:hAnsi="Times New Roman" w:eastAsia="华文楷体" w:cs="Times New Roman"/>
          <w:szCs w:val="21"/>
        </w:rPr>
        <w:t xml:space="preserve">1, </w:t>
      </w:r>
      <w:r>
        <w:rPr>
          <w:rFonts w:hint="eastAsia" w:ascii="Times New Roman" w:hAnsi="Times New Roman" w:eastAsia="华文楷体" w:cs="Times New Roman"/>
          <w:szCs w:val="21"/>
        </w:rPr>
        <w:t>姓名</w:t>
      </w:r>
      <w:r>
        <w:rPr>
          <w:rFonts w:ascii="Times New Roman" w:hAnsi="Times New Roman" w:eastAsia="华文楷体" w:cs="Times New Roman"/>
          <w:szCs w:val="21"/>
        </w:rPr>
        <w:t xml:space="preserve">1; </w:t>
      </w:r>
      <w:r>
        <w:rPr>
          <w:rFonts w:hint="eastAsia" w:ascii="Times New Roman" w:hAnsi="Times New Roman" w:eastAsia="华文楷体" w:cs="Times New Roman"/>
          <w:szCs w:val="21"/>
        </w:rPr>
        <w:t>学号</w:t>
      </w:r>
      <w:r>
        <w:rPr>
          <w:rFonts w:ascii="Times New Roman" w:hAnsi="Times New Roman" w:eastAsia="华文楷体" w:cs="Times New Roman"/>
          <w:szCs w:val="21"/>
        </w:rPr>
        <w:t xml:space="preserve">2, </w:t>
      </w:r>
      <w:r>
        <w:rPr>
          <w:rFonts w:hint="eastAsia" w:ascii="Times New Roman" w:hAnsi="Times New Roman" w:eastAsia="华文楷体" w:cs="Times New Roman"/>
          <w:szCs w:val="21"/>
        </w:rPr>
        <w:t>姓名</w:t>
      </w:r>
      <w:r>
        <w:rPr>
          <w:rFonts w:ascii="Times New Roman" w:hAnsi="Times New Roman" w:eastAsia="华文楷体" w:cs="Times New Roman"/>
          <w:szCs w:val="21"/>
        </w:rPr>
        <w:t>2;</w:t>
      </w:r>
      <w:r>
        <w:rPr>
          <w:rFonts w:hint="eastAsia" w:ascii="Times New Roman" w:hAnsi="Times New Roman" w:eastAsia="华文楷体" w:cs="Times New Roman"/>
          <w:szCs w:val="21"/>
          <w:lang w:val="en-US" w:eastAsia="zh-CN"/>
        </w:rPr>
        <w:t xml:space="preserve"> 2401212436， 任俊宇</w:t>
      </w:r>
    </w:p>
    <w:p w14:paraId="12105DB3">
      <w:pPr>
        <w:rPr>
          <w:rFonts w:ascii="Times New Roman" w:hAnsi="Times New Roman" w:eastAsia="华文楷体" w:cs="Times New Roman"/>
          <w:szCs w:val="21"/>
        </w:rPr>
      </w:pPr>
      <w:r>
        <w:rPr>
          <w:rFonts w:hint="eastAsia" w:ascii="Times New Roman" w:hAnsi="Times New Roman" w:eastAsia="华文楷体" w:cs="Times New Roman"/>
          <w:szCs w:val="21"/>
        </w:rPr>
        <w:t>完成时间</w:t>
      </w:r>
      <w:r>
        <w:rPr>
          <w:rFonts w:ascii="Times New Roman" w:hAnsi="Times New Roman" w:eastAsia="华文楷体" w:cs="Times New Roman"/>
          <w:szCs w:val="21"/>
        </w:rPr>
        <w:t xml:space="preserve">: </w:t>
      </w:r>
      <w:r>
        <w:rPr>
          <w:rFonts w:hint="eastAsia" w:ascii="Times New Roman" w:hAnsi="Times New Roman" w:eastAsia="华文楷体" w:cs="Times New Roman"/>
          <w:szCs w:val="21"/>
        </w:rPr>
        <w:t xml:space="preserve"> 2025年12月14日11点59分</w:t>
      </w:r>
    </w:p>
    <w:p w14:paraId="29980531">
      <w:pPr>
        <w:rPr>
          <w:rFonts w:hint="eastAsia" w:ascii="Times New Roman" w:hAnsi="Times New Roman" w:eastAsia="华文楷体" w:cs="Times New Roman"/>
          <w:szCs w:val="21"/>
        </w:rPr>
      </w:pPr>
    </w:p>
    <w:p w14:paraId="6386D7EB">
      <w:pPr>
        <w:ind w:left="3782" w:firstLine="420"/>
        <w:rPr>
          <w:rFonts w:ascii="Times New Roman" w:hAnsi="Times New Roman" w:eastAsia="华文楷体" w:cs="Times New Roman"/>
          <w:b/>
          <w:bCs/>
          <w:szCs w:val="21"/>
        </w:rPr>
      </w:pPr>
      <w:r>
        <w:rPr>
          <w:rFonts w:ascii="Times New Roman" w:hAnsi="Times New Roman" w:eastAsia="华文楷体" w:cs="Times New Roman"/>
          <w:b/>
          <w:bCs/>
          <w:szCs w:val="21"/>
        </w:rPr>
        <w:t>摘要</w:t>
      </w:r>
    </w:p>
    <w:p w14:paraId="47163786">
      <w:pPr>
        <w:ind w:firstLine="420"/>
        <w:rPr>
          <w:rFonts w:ascii="Times New Roman" w:hAnsi="Times New Roman" w:eastAsia="华文楷体" w:cs="Times New Roman"/>
          <w:szCs w:val="21"/>
        </w:rPr>
      </w:pPr>
      <w:r>
        <w:rPr>
          <w:rFonts w:ascii="Times New Roman" w:hAnsi="Times New Roman" w:eastAsia="华文楷体" w:cs="Times New Roman"/>
          <w:szCs w:val="21"/>
        </w:rPr>
        <w:t>本报告旨在设计、实现并评估一种基于股指期货贴水的指数增强策略。报告将从策略设计、回测实现、绩效分析及改进建议四个方面，系统阐述利用股指期货价格向现货指数收敛特性获取超额收益的全过程。本报告选取沪深300指数及其期货合约（IF）作为研究对象，通过Python构建完整的面向对象回测系统，并对策略的收益来源、风险特征及优化方向进行深入探讨。</w:t>
      </w:r>
    </w:p>
    <w:p w14:paraId="7F883B03">
      <w:pPr>
        <w:rPr>
          <w:rFonts w:ascii="Times New Roman" w:hAnsi="Times New Roman" w:eastAsia="华文楷体" w:cs="Times New Roman"/>
          <w:szCs w:val="21"/>
        </w:rPr>
      </w:pPr>
    </w:p>
    <w:p w14:paraId="5189D4FF">
      <w:pPr>
        <w:jc w:val="center"/>
        <w:rPr>
          <w:rFonts w:hint="eastAsia" w:ascii="Times New Roman" w:hAnsi="Times New Roman" w:eastAsia="华文楷体" w:cs="Times New Roman"/>
          <w:b/>
          <w:bCs/>
          <w:szCs w:val="21"/>
        </w:rPr>
      </w:pPr>
      <w:r>
        <w:rPr>
          <w:rFonts w:ascii="Times New Roman" w:hAnsi="Times New Roman" w:eastAsia="华文楷体" w:cs="Times New Roman"/>
          <w:b/>
          <w:bCs/>
          <w:szCs w:val="21"/>
        </w:rPr>
        <w:t>第一部分：策略设计与合约选择</w:t>
      </w:r>
    </w:p>
    <w:p w14:paraId="2FBD08AD">
      <w:pPr>
        <w:rPr>
          <w:rFonts w:ascii="Times New Roman" w:hAnsi="Times New Roman" w:eastAsia="华文楷体" w:cs="Times New Roman"/>
          <w:b/>
          <w:bCs/>
          <w:szCs w:val="21"/>
        </w:rPr>
      </w:pPr>
      <w:r>
        <w:rPr>
          <w:rFonts w:ascii="Times New Roman" w:hAnsi="Times New Roman" w:eastAsia="华文楷体" w:cs="Times New Roman"/>
          <w:b/>
          <w:bCs/>
          <w:szCs w:val="21"/>
        </w:rPr>
        <w:t>1.1 目标指数与期货合约选择</w:t>
      </w:r>
    </w:p>
    <w:p w14:paraId="0202A254">
      <w:pPr>
        <w:rPr>
          <w:rFonts w:ascii="Times New Roman" w:hAnsi="Times New Roman" w:eastAsia="华文楷体" w:cs="Times New Roman"/>
          <w:b/>
          <w:bCs/>
          <w:szCs w:val="21"/>
        </w:rPr>
      </w:pPr>
      <w:r>
        <w:rPr>
          <w:rFonts w:ascii="Times New Roman" w:hAnsi="Times New Roman" w:eastAsia="华文楷体" w:cs="Times New Roman"/>
          <w:b/>
          <w:bCs/>
          <w:szCs w:val="21"/>
        </w:rPr>
        <w:t>1.1.1 核心逻辑</w:t>
      </w:r>
    </w:p>
    <w:p w14:paraId="3A1A1CF3">
      <w:pPr>
        <w:ind w:firstLine="420"/>
        <w:rPr>
          <w:rFonts w:ascii="Times New Roman" w:hAnsi="Times New Roman" w:eastAsia="华文楷体" w:cs="Times New Roman"/>
          <w:szCs w:val="21"/>
        </w:rPr>
      </w:pPr>
      <w:r>
        <w:rPr>
          <w:rFonts w:ascii="Times New Roman" w:hAnsi="Times New Roman" w:eastAsia="华文楷体" w:cs="Times New Roman"/>
          <w:szCs w:val="21"/>
        </w:rPr>
        <w:t>股指期货贴水增强策略的核心逻辑建立在期货定价的收敛性之上。在无套利条件下，期货价格F应由现货价格S、无风险利率r、股息率q和剩余期限T决定：F = S * e^((r - q) * T)。当市场出现情绪波动、流动性紧张或套保压力时，期货价格可能低于其理论价值，形成“贴水”（Discount）。这种贴水在合约到期时必然收敛至现货价格，从而为持有期货多头并卖出现货（或ETF）的投资者带来除指数涨跌外的额外收益。本策略旨在通过持续持有贴水期货合约，在获取指数收益的同时，赚取贴水收敛的收益，实现相对于现货指数的增强效果。</w:t>
      </w:r>
    </w:p>
    <w:p w14:paraId="16D5651B">
      <w:pPr>
        <w:rPr>
          <w:rFonts w:ascii="Times New Roman" w:hAnsi="Times New Roman" w:eastAsia="华文楷体" w:cs="Times New Roman"/>
          <w:szCs w:val="21"/>
        </w:rPr>
      </w:pPr>
      <w:r>
        <w:rPr>
          <w:rFonts w:ascii="Times New Roman" w:hAnsi="Times New Roman" w:eastAsia="华文楷体" w:cs="Times New Roman"/>
          <w:szCs w:val="21"/>
        </w:rPr>
        <w:t>选择沪深300指数及其期货合约（IF）主要基于以下</w:t>
      </w:r>
      <w:r>
        <w:rPr>
          <w:rFonts w:hint="eastAsia" w:ascii="Times New Roman" w:hAnsi="Times New Roman" w:eastAsia="华文楷体" w:cs="Times New Roman"/>
          <w:szCs w:val="21"/>
        </w:rPr>
        <w:t>四点</w:t>
      </w:r>
      <w:r>
        <w:rPr>
          <w:rFonts w:ascii="Times New Roman" w:hAnsi="Times New Roman" w:eastAsia="华文楷体" w:cs="Times New Roman"/>
          <w:szCs w:val="21"/>
        </w:rPr>
        <w:t>考量：</w:t>
      </w:r>
    </w:p>
    <w:p w14:paraId="13948A96">
      <w:pPr>
        <w:rPr>
          <w:rFonts w:ascii="Times New Roman" w:hAnsi="Times New Roman" w:eastAsia="华文楷体" w:cs="Times New Roman"/>
          <w:szCs w:val="21"/>
        </w:rPr>
      </w:pPr>
      <w:r>
        <w:rPr>
          <w:rFonts w:hint="eastAsia" w:ascii="Times New Roman" w:hAnsi="Times New Roman" w:eastAsia="华文楷体" w:cs="Times New Roman"/>
          <w:szCs w:val="21"/>
        </w:rPr>
        <w:t>（1）</w:t>
      </w:r>
      <w:r>
        <w:rPr>
          <w:rFonts w:ascii="Times New Roman" w:hAnsi="Times New Roman" w:eastAsia="华文楷体" w:cs="Times New Roman"/>
          <w:szCs w:val="21"/>
        </w:rPr>
        <w:t>市场代表性：沪深300指数覆盖A股市场市值大、流动性好的300只股票，能综合反映中国股市整体走势，是境内机构投资者的核心业绩基准。</w:t>
      </w:r>
    </w:p>
    <w:p w14:paraId="449564CC">
      <w:pPr>
        <w:rPr>
          <w:rFonts w:ascii="Times New Roman" w:hAnsi="Times New Roman" w:eastAsia="华文楷体" w:cs="Times New Roman"/>
          <w:szCs w:val="21"/>
        </w:rPr>
      </w:pPr>
      <w:r>
        <w:rPr>
          <w:rFonts w:hint="eastAsia" w:ascii="Times New Roman" w:hAnsi="Times New Roman" w:eastAsia="华文楷体" w:cs="Times New Roman"/>
          <w:szCs w:val="21"/>
        </w:rPr>
        <w:t>（2）</w:t>
      </w:r>
      <w:r>
        <w:rPr>
          <w:rFonts w:ascii="Times New Roman" w:hAnsi="Times New Roman" w:eastAsia="华文楷体" w:cs="Times New Roman"/>
          <w:szCs w:val="21"/>
        </w:rPr>
        <w:t>期货流动性：IF合约自2010年上市以来，已成为中国金融期货市场交易最活跃的品种之一，日均成交额与持仓量充足，为策略的大资金容量提供了基础。</w:t>
      </w:r>
    </w:p>
    <w:p w14:paraId="3248CAD0">
      <w:pPr>
        <w:rPr>
          <w:rFonts w:ascii="Times New Roman" w:hAnsi="Times New Roman" w:eastAsia="华文楷体" w:cs="Times New Roman"/>
          <w:szCs w:val="21"/>
        </w:rPr>
      </w:pPr>
      <w:r>
        <w:rPr>
          <w:rFonts w:hint="eastAsia" w:ascii="Times New Roman" w:hAnsi="Times New Roman" w:eastAsia="华文楷体" w:cs="Times New Roman"/>
          <w:szCs w:val="21"/>
        </w:rPr>
        <w:t>（3）</w:t>
      </w:r>
      <w:r>
        <w:rPr>
          <w:rFonts w:ascii="Times New Roman" w:hAnsi="Times New Roman" w:eastAsia="华文楷体" w:cs="Times New Roman"/>
          <w:szCs w:val="21"/>
        </w:rPr>
        <w:t>贴水现象的持续性：由于A股市场存在较高的卖空限制、较强的对冲需求以及独特的投资者结构，沪深300期货在多数时间内呈现贴水状态，尤其在市场下跌或波动加剧时贴水加深，为策略提供了较稳定的收益来源。</w:t>
      </w:r>
    </w:p>
    <w:p w14:paraId="2D996C33">
      <w:pPr>
        <w:rPr>
          <w:rFonts w:ascii="Times New Roman" w:hAnsi="Times New Roman" w:eastAsia="华文楷体" w:cs="Times New Roman"/>
          <w:szCs w:val="21"/>
        </w:rPr>
      </w:pPr>
      <w:r>
        <w:rPr>
          <w:rFonts w:hint="eastAsia" w:ascii="Times New Roman" w:hAnsi="Times New Roman" w:eastAsia="华文楷体" w:cs="Times New Roman"/>
          <w:szCs w:val="21"/>
        </w:rPr>
        <w:t>（4）</w:t>
      </w:r>
      <w:r>
        <w:rPr>
          <w:rFonts w:ascii="Times New Roman" w:hAnsi="Times New Roman" w:eastAsia="华文楷体" w:cs="Times New Roman"/>
          <w:szCs w:val="21"/>
        </w:rPr>
        <w:t>数据可得性：指数和期货的历史数据完整、易于获取，便于进行长期回测与验证。</w:t>
      </w:r>
    </w:p>
    <w:p w14:paraId="71D8A3CF">
      <w:pPr>
        <w:rPr>
          <w:rFonts w:ascii="Times New Roman" w:hAnsi="Times New Roman" w:eastAsia="华文楷体" w:cs="Times New Roman"/>
          <w:b/>
          <w:bCs/>
          <w:szCs w:val="21"/>
        </w:rPr>
      </w:pPr>
      <w:r>
        <w:rPr>
          <w:rFonts w:ascii="Times New Roman" w:hAnsi="Times New Roman" w:eastAsia="华文楷体" w:cs="Times New Roman"/>
          <w:b/>
          <w:bCs/>
          <w:szCs w:val="21"/>
        </w:rPr>
        <w:t>1.1.2 实际可行性</w:t>
      </w:r>
    </w:p>
    <w:p w14:paraId="1F1140C0">
      <w:pPr>
        <w:ind w:firstLine="420"/>
        <w:rPr>
          <w:rFonts w:ascii="Times New Roman" w:hAnsi="Times New Roman" w:eastAsia="华文楷体" w:cs="Times New Roman"/>
          <w:szCs w:val="21"/>
        </w:rPr>
      </w:pPr>
      <w:r>
        <w:rPr>
          <w:rFonts w:ascii="Times New Roman" w:hAnsi="Times New Roman" w:eastAsia="华文楷体" w:cs="Times New Roman"/>
          <w:szCs w:val="21"/>
        </w:rPr>
        <w:t>策略在实际执行中面临的主要挑战包括保证金管理、滚动换仓冲击以及融券卖空现货（若采用完全对冲）的成本。考虑到A股市场融券成本较高且券源不稳定，本策略采用不完全对冲的“现金增强”模式，即不直接卖空现货指数，而是将大部分资金作为期货保证金和现金储备，仅以期货多头暴露市场风险。这种方式避免了复杂的现货做空操作，降低了执行门槛，更适合普通机构投资者实施。期货合约的高杠杆特性也使得策略可以用较少资金获取指数敞口，释放的现金可用于投资低风险固收产品，进一步增厚收益。</w:t>
      </w:r>
    </w:p>
    <w:p w14:paraId="17EED5CE">
      <w:pPr>
        <w:rPr>
          <w:rFonts w:hint="default" w:ascii="Times New Roman" w:hAnsi="Times New Roman" w:eastAsia="华文楷体" w:cs="Times New Roman"/>
          <w:b/>
          <w:bCs/>
          <w:szCs w:val="21"/>
          <w:lang w:val="en-US" w:eastAsia="zh-CN"/>
        </w:rPr>
      </w:pPr>
      <w:r>
        <w:rPr>
          <w:rFonts w:ascii="Times New Roman" w:hAnsi="Times New Roman" w:eastAsia="华文楷体" w:cs="Times New Roman"/>
          <w:b/>
          <w:bCs/>
          <w:szCs w:val="21"/>
        </w:rPr>
        <w:t>1.1.</w:t>
      </w:r>
      <w:r>
        <w:rPr>
          <w:rFonts w:hint="eastAsia" w:ascii="Times New Roman" w:hAnsi="Times New Roman" w:eastAsia="华文楷体" w:cs="Times New Roman"/>
          <w:b/>
          <w:bCs/>
          <w:szCs w:val="21"/>
          <w:lang w:val="en-US" w:eastAsia="zh-CN"/>
        </w:rPr>
        <w:t>3</w:t>
      </w:r>
      <w:r>
        <w:rPr>
          <w:rFonts w:ascii="Times New Roman" w:hAnsi="Times New Roman" w:eastAsia="华文楷体" w:cs="Times New Roman"/>
          <w:b/>
          <w:bCs/>
          <w:szCs w:val="21"/>
        </w:rPr>
        <w:t xml:space="preserve"> </w:t>
      </w:r>
      <w:r>
        <w:rPr>
          <w:rFonts w:hint="eastAsia" w:ascii="Times New Roman" w:hAnsi="Times New Roman" w:eastAsia="华文楷体" w:cs="Times New Roman"/>
          <w:b/>
          <w:bCs/>
          <w:szCs w:val="21"/>
          <w:lang w:val="en-US" w:eastAsia="zh-CN"/>
        </w:rPr>
        <w:t>数据探索性分析</w:t>
      </w:r>
    </w:p>
    <w:p w14:paraId="19944841">
      <w:pPr>
        <w:ind w:firstLine="420"/>
        <w:rPr>
          <w:rFonts w:ascii="Times New Roman" w:hAnsi="Times New Roman" w:eastAsia="华文楷体" w:cs="Times New Roman"/>
          <w:szCs w:val="21"/>
        </w:rPr>
      </w:pPr>
      <w:r>
        <w:rPr>
          <w:rFonts w:hint="eastAsia" w:ascii="Times New Roman" w:hAnsi="Times New Roman" w:eastAsia="华文楷体" w:cs="Times New Roman"/>
          <w:szCs w:val="21"/>
          <w:lang w:val="en-US" w:eastAsia="zh-CN"/>
        </w:rPr>
        <w:t>选取</w:t>
      </w:r>
      <w:r>
        <w:rPr>
          <w:rFonts w:hint="eastAsia" w:ascii="Times New Roman" w:hAnsi="Times New Roman" w:eastAsia="华文楷体" w:cs="Times New Roman"/>
          <w:szCs w:val="21"/>
        </w:rPr>
        <w:t>数据共包含 3,256 条记录和 56 个变量，时间范围覆盖 2022 年 7 月至 2025 年 11 月，具有较好的时序连续性</w:t>
      </w:r>
      <w:r>
        <w:rPr>
          <w:rFonts w:hint="eastAsia" w:ascii="Times New Roman" w:hAnsi="Times New Roman" w:eastAsia="华文楷体" w:cs="Times New Roman"/>
          <w:szCs w:val="21"/>
          <w:lang w:eastAsia="zh-CN"/>
        </w:rPr>
        <w:t>，</w:t>
      </w:r>
      <w:r>
        <w:rPr>
          <w:rFonts w:hint="eastAsia" w:ascii="Times New Roman" w:hAnsi="Times New Roman" w:eastAsia="华文楷体" w:cs="Times New Roman"/>
          <w:szCs w:val="21"/>
        </w:rPr>
        <w:t>样本同时涵盖了临近到期与远期合约</w:t>
      </w:r>
      <w:r>
        <w:rPr>
          <w:rFonts w:hint="eastAsia" w:ascii="Times New Roman" w:hAnsi="Times New Roman" w:eastAsia="华文楷体" w:cs="Times New Roman"/>
          <w:szCs w:val="21"/>
          <w:lang w:eastAsia="zh-CN"/>
        </w:rPr>
        <w:t>。</w:t>
      </w:r>
      <w:r>
        <w:rPr>
          <w:rFonts w:hint="eastAsia" w:ascii="Times New Roman" w:hAnsi="Times New Roman" w:eastAsia="华文楷体" w:cs="Times New Roman"/>
          <w:szCs w:val="21"/>
          <w:lang w:val="en-US" w:eastAsia="zh-CN"/>
        </w:rPr>
        <w:t>合约</w:t>
      </w:r>
      <w:r>
        <w:rPr>
          <w:rFonts w:hint="eastAsia" w:ascii="Times New Roman" w:hAnsi="Times New Roman" w:eastAsia="华文楷体" w:cs="Times New Roman"/>
          <w:szCs w:val="21"/>
        </w:rPr>
        <w:t>收益率整体处于中等水平，均值约为 14.82%，波动性相对较小，而调整后收益率的均值和中位数明显偏低，且分布右偏，表明极端高值对其均值存在一定拉动作用。价格层面上，期货收盘价与指数收盘价均呈现较宽的波动区间，且二者相关系数高达 0.97，显示出极强的一致性。相关性分析进一步表明，收益率与到期剩余天数呈中等偏强的正相关，而调整后收益率与到期天数则呈负相关，反映不同收益指标对期限因素的敏感性存在差异。此外，样本共涉及 44 个不同合约，其中 IM2509.CFE 为交易最活跃合约，交易次数最多，说明该合约在样本期内具有较高代表性。</w:t>
      </w:r>
      <w:bookmarkStart w:id="0" w:name="_GoBack"/>
      <w:bookmarkEnd w:id="0"/>
    </w:p>
    <w:p w14:paraId="73EDC5A9">
      <w:pPr>
        <w:rPr>
          <w:rFonts w:ascii="Times New Roman" w:hAnsi="Times New Roman" w:eastAsia="华文楷体" w:cs="Times New Roman"/>
          <w:b/>
          <w:bCs/>
          <w:szCs w:val="21"/>
        </w:rPr>
      </w:pPr>
      <w:r>
        <w:rPr>
          <w:rFonts w:ascii="Times New Roman" w:hAnsi="Times New Roman" w:eastAsia="华文楷体" w:cs="Times New Roman"/>
          <w:b/>
          <w:bCs/>
          <w:szCs w:val="21"/>
        </w:rPr>
        <w:t>1.2 滚动换仓计划</w:t>
      </w:r>
    </w:p>
    <w:p w14:paraId="03C4E247">
      <w:pPr>
        <w:ind w:firstLine="420"/>
        <w:rPr>
          <w:rFonts w:ascii="Times New Roman" w:hAnsi="Times New Roman" w:eastAsia="华文楷体" w:cs="Times New Roman"/>
          <w:szCs w:val="21"/>
        </w:rPr>
      </w:pPr>
      <w:r>
        <w:rPr>
          <w:rFonts w:ascii="Times New Roman" w:hAnsi="Times New Roman" w:eastAsia="华文楷体" w:cs="Times New Roman"/>
          <w:szCs w:val="21"/>
        </w:rPr>
        <w:t>期货合约有固定的到期日，策略必须定期将即将到期的合约头寸转移到更远月的合约上，以维持市场暴露。滚动换仓的设计直接影响策略的收益和成本。</w:t>
      </w:r>
    </w:p>
    <w:p w14:paraId="33297744">
      <w:pPr>
        <w:rPr>
          <w:rFonts w:ascii="Times New Roman" w:hAnsi="Times New Roman" w:eastAsia="华文楷体" w:cs="Times New Roman"/>
          <w:b/>
          <w:bCs/>
          <w:szCs w:val="21"/>
        </w:rPr>
      </w:pPr>
      <w:r>
        <w:rPr>
          <w:rFonts w:ascii="Times New Roman" w:hAnsi="Times New Roman" w:eastAsia="华文楷体" w:cs="Times New Roman"/>
          <w:b/>
          <w:bCs/>
          <w:szCs w:val="21"/>
        </w:rPr>
        <w:t>1.2.1 滚动触发条件</w:t>
      </w:r>
    </w:p>
    <w:p w14:paraId="58D12B64">
      <w:pPr>
        <w:ind w:firstLine="360"/>
        <w:rPr>
          <w:rFonts w:ascii="Times New Roman" w:hAnsi="Times New Roman" w:eastAsia="华文楷体" w:cs="Times New Roman"/>
          <w:szCs w:val="21"/>
        </w:rPr>
      </w:pPr>
      <w:r>
        <w:rPr>
          <w:rFonts w:ascii="Times New Roman" w:hAnsi="Times New Roman" w:eastAsia="华文楷体" w:cs="Times New Roman"/>
          <w:szCs w:val="21"/>
        </w:rPr>
        <w:t>为规避到期日附近可能出现的流动性下降、基差剧烈波动以及交割结算风险，本策略设定滚动触发条件为</w:t>
      </w:r>
      <w:r>
        <w:rPr>
          <w:rFonts w:ascii="Times New Roman" w:hAnsi="Times New Roman" w:eastAsia="华文楷体" w:cs="Times New Roman"/>
          <w:b/>
          <w:bCs/>
          <w:szCs w:val="21"/>
        </w:rPr>
        <w:t>在到期日前N个交易日</w:t>
      </w:r>
      <w:r>
        <w:rPr>
          <w:rFonts w:ascii="Times New Roman" w:hAnsi="Times New Roman" w:eastAsia="华文楷体" w:cs="Times New Roman"/>
          <w:szCs w:val="21"/>
        </w:rPr>
        <w:t>执行换仓。具体N值的选择需权衡：</w:t>
      </w:r>
    </w:p>
    <w:p w14:paraId="6B7A844D">
      <w:pPr>
        <w:rPr>
          <w:rFonts w:ascii="Times New Roman" w:hAnsi="Times New Roman" w:eastAsia="华文楷体" w:cs="Times New Roman"/>
          <w:szCs w:val="21"/>
        </w:rPr>
      </w:pPr>
      <w:r>
        <w:rPr>
          <w:rFonts w:hint="eastAsia" w:ascii="Times New Roman" w:hAnsi="Times New Roman" w:eastAsia="华文楷体" w:cs="Times New Roman"/>
          <w:szCs w:val="21"/>
        </w:rPr>
        <w:t>（1）</w:t>
      </w:r>
      <w:r>
        <w:rPr>
          <w:rFonts w:ascii="Times New Roman" w:hAnsi="Times New Roman" w:eastAsia="华文楷体" w:cs="Times New Roman"/>
          <w:szCs w:val="21"/>
        </w:rPr>
        <w:t>过早滚动（如到期前5天以上）：可能错失近月合约在最后阶段贴水快速收敛的收益，同时需提前进入可能贴水更浅或升水的远月合约。</w:t>
      </w:r>
    </w:p>
    <w:p w14:paraId="56326A2B">
      <w:pPr>
        <w:rPr>
          <w:rFonts w:ascii="Times New Roman" w:hAnsi="Times New Roman" w:eastAsia="华文楷体" w:cs="Times New Roman"/>
          <w:szCs w:val="21"/>
        </w:rPr>
      </w:pPr>
      <w:r>
        <w:rPr>
          <w:rFonts w:hint="eastAsia" w:ascii="Times New Roman" w:hAnsi="Times New Roman" w:eastAsia="华文楷体" w:cs="Times New Roman"/>
          <w:szCs w:val="21"/>
        </w:rPr>
        <w:t>（2）</w:t>
      </w:r>
      <w:r>
        <w:rPr>
          <w:rFonts w:ascii="Times New Roman" w:hAnsi="Times New Roman" w:eastAsia="华文楷体" w:cs="Times New Roman"/>
          <w:szCs w:val="21"/>
        </w:rPr>
        <w:t>过晚滚动（如到期前1天）：面临流动性枯竭、买卖价差扩大的风险，且若遇市场极端波动，可能无法以理想价格成交。</w:t>
      </w:r>
    </w:p>
    <w:p w14:paraId="671FD88C">
      <w:pPr>
        <w:ind w:firstLine="420"/>
        <w:rPr>
          <w:rFonts w:ascii="Times New Roman" w:hAnsi="Times New Roman" w:eastAsia="华文楷体" w:cs="Times New Roman"/>
          <w:szCs w:val="21"/>
        </w:rPr>
      </w:pPr>
      <w:r>
        <w:rPr>
          <w:rFonts w:ascii="Times New Roman" w:hAnsi="Times New Roman" w:eastAsia="华文楷体" w:cs="Times New Roman"/>
          <w:szCs w:val="21"/>
        </w:rPr>
        <w:t>综合市场惯例与实证经验，本策略初步设定N=2，即在主力合约到期日前两个交易日收盘时执行滚动操作。此安排既能捕捉到期周的大部分收敛收益，又能有效避开最后交易日的异常波动。</w:t>
      </w:r>
    </w:p>
    <w:p w14:paraId="4BC36666">
      <w:pPr>
        <w:rPr>
          <w:rFonts w:ascii="Times New Roman" w:hAnsi="Times New Roman" w:eastAsia="华文楷体" w:cs="Times New Roman"/>
          <w:b/>
          <w:bCs/>
          <w:szCs w:val="21"/>
        </w:rPr>
      </w:pPr>
      <w:r>
        <w:rPr>
          <w:rFonts w:ascii="Times New Roman" w:hAnsi="Times New Roman" w:eastAsia="华文楷体" w:cs="Times New Roman"/>
          <w:b/>
          <w:bCs/>
          <w:szCs w:val="21"/>
        </w:rPr>
        <w:t>1.2.2 新合约选择逻辑</w:t>
      </w:r>
    </w:p>
    <w:p w14:paraId="223C3458">
      <w:pPr>
        <w:ind w:firstLine="420"/>
        <w:rPr>
          <w:rFonts w:ascii="Times New Roman" w:hAnsi="Times New Roman" w:eastAsia="华文楷体" w:cs="Times New Roman"/>
          <w:szCs w:val="21"/>
        </w:rPr>
      </w:pPr>
      <w:r>
        <w:rPr>
          <w:rFonts w:ascii="Times New Roman" w:hAnsi="Times New Roman" w:eastAsia="华文楷体" w:cs="Times New Roman"/>
          <w:szCs w:val="21"/>
        </w:rPr>
        <w:t>当近月合约需要平仓时，需选择一个新的合约建立多头头寸。选择标准如下：</w:t>
      </w:r>
    </w:p>
    <w:p w14:paraId="7AB0CCE9">
      <w:pPr>
        <w:rPr>
          <w:rFonts w:ascii="Times New Roman" w:hAnsi="Times New Roman" w:eastAsia="华文楷体" w:cs="Times New Roman"/>
          <w:szCs w:val="21"/>
        </w:rPr>
      </w:pPr>
      <w:r>
        <w:rPr>
          <w:rFonts w:hint="eastAsia" w:ascii="Times New Roman" w:hAnsi="Times New Roman" w:eastAsia="华文楷体" w:cs="Times New Roman"/>
          <w:szCs w:val="21"/>
        </w:rPr>
        <w:t>（1）</w:t>
      </w:r>
      <w:r>
        <w:rPr>
          <w:rFonts w:ascii="Times New Roman" w:hAnsi="Times New Roman" w:eastAsia="华文楷体" w:cs="Times New Roman"/>
          <w:szCs w:val="21"/>
        </w:rPr>
        <w:t>流动性优先：首选持仓量与成交量最大的“主力合约”，以确保能以最小冲击成本完成建仓。通常，下月合约或当季合约在滚动时会成为新的主力合约。</w:t>
      </w:r>
    </w:p>
    <w:p w14:paraId="6BB208A5">
      <w:pPr>
        <w:rPr>
          <w:rFonts w:ascii="Times New Roman" w:hAnsi="Times New Roman" w:eastAsia="华文楷体" w:cs="Times New Roman"/>
          <w:szCs w:val="21"/>
        </w:rPr>
      </w:pPr>
      <w:r>
        <w:rPr>
          <w:rFonts w:hint="eastAsia" w:ascii="Times New Roman" w:hAnsi="Times New Roman" w:eastAsia="华文楷体" w:cs="Times New Roman"/>
          <w:szCs w:val="21"/>
        </w:rPr>
        <w:t>（2）</w:t>
      </w:r>
      <w:r>
        <w:rPr>
          <w:rFonts w:ascii="Times New Roman" w:hAnsi="Times New Roman" w:eastAsia="华文楷体" w:cs="Times New Roman"/>
          <w:szCs w:val="21"/>
        </w:rPr>
        <w:t>贴水幅度比较：在流动性相近的候选合约（通常是下月与当季合约）中，选择年化贴水率更大的合约。年化贴水率计算公式为：年化贴水率 = (现货指数 / 期货价格 - 1) * (365 / 剩余天数)。选择更高贴水的合约旨在最大化未来的收敛收益。</w:t>
      </w:r>
    </w:p>
    <w:p w14:paraId="2802817A">
      <w:pPr>
        <w:rPr>
          <w:rFonts w:ascii="Times New Roman" w:hAnsi="Times New Roman" w:eastAsia="华文楷体" w:cs="Times New Roman"/>
          <w:szCs w:val="21"/>
        </w:rPr>
      </w:pPr>
      <w:r>
        <w:rPr>
          <w:rFonts w:hint="eastAsia" w:ascii="Times New Roman" w:hAnsi="Times New Roman" w:eastAsia="华文楷体" w:cs="Times New Roman"/>
          <w:szCs w:val="21"/>
        </w:rPr>
        <w:t>（3）</w:t>
      </w:r>
      <w:r>
        <w:rPr>
          <w:rFonts w:ascii="Times New Roman" w:hAnsi="Times New Roman" w:eastAsia="华文楷体" w:cs="Times New Roman"/>
          <w:szCs w:val="21"/>
        </w:rPr>
        <w:t>排除极端合约：对于剩余期限过短（如不足一周）或过长（如次年季度合约）的合约，因其流动性通常较差或定价效率低，予以排除。</w:t>
      </w:r>
    </w:p>
    <w:p w14:paraId="4687C629">
      <w:pPr>
        <w:rPr>
          <w:rFonts w:ascii="Times New Roman" w:hAnsi="Times New Roman" w:eastAsia="华文楷体" w:cs="Times New Roman"/>
          <w:szCs w:val="21"/>
        </w:rPr>
      </w:pPr>
      <w:r>
        <w:rPr>
          <w:rFonts w:ascii="Times New Roman" w:hAnsi="Times New Roman" w:eastAsia="华文楷体" w:cs="Times New Roman"/>
          <w:szCs w:val="21"/>
        </w:rPr>
        <w:t>因此，滚动操作的具体步骤为：在触发日T日收盘前，平仓当前持有的近月合约多头；同时，根据上述标准，在T日收盘前或T+1日开盘时，建仓选定的新主力合约多头，维持总名义本金不变。</w:t>
      </w:r>
    </w:p>
    <w:p w14:paraId="27AC17B0">
      <w:pPr>
        <w:rPr>
          <w:rFonts w:hint="eastAsia" w:ascii="Times New Roman" w:hAnsi="Times New Roman" w:eastAsia="华文楷体" w:cs="Times New Roman"/>
          <w:szCs w:val="21"/>
        </w:rPr>
      </w:pPr>
    </w:p>
    <w:p w14:paraId="5E6985BB">
      <w:pPr>
        <w:jc w:val="center"/>
        <w:rPr>
          <w:rFonts w:ascii="Times New Roman" w:hAnsi="Times New Roman" w:eastAsia="华文楷体" w:cs="Times New Roman"/>
          <w:b/>
          <w:bCs/>
          <w:szCs w:val="21"/>
        </w:rPr>
      </w:pPr>
      <w:r>
        <w:rPr>
          <w:rFonts w:ascii="Times New Roman" w:hAnsi="Times New Roman" w:eastAsia="华文楷体" w:cs="Times New Roman"/>
          <w:b/>
          <w:bCs/>
          <w:szCs w:val="21"/>
        </w:rPr>
        <w:t>第二部分：回测与绩效评估</w:t>
      </w:r>
    </w:p>
    <w:p w14:paraId="113C49F4">
      <w:pPr>
        <w:rPr>
          <w:rFonts w:ascii="Times New Roman" w:hAnsi="Times New Roman" w:eastAsia="华文楷体" w:cs="Times New Roman"/>
          <w:b/>
          <w:bCs/>
          <w:szCs w:val="21"/>
        </w:rPr>
      </w:pPr>
      <w:r>
        <w:rPr>
          <w:rFonts w:ascii="Times New Roman" w:hAnsi="Times New Roman" w:eastAsia="华文楷体" w:cs="Times New Roman"/>
          <w:b/>
          <w:bCs/>
          <w:szCs w:val="21"/>
        </w:rPr>
        <w:t>2.1 回测平台构建</w:t>
      </w:r>
    </w:p>
    <w:p w14:paraId="50EDC226">
      <w:pPr>
        <w:ind w:firstLine="420"/>
        <w:rPr>
          <w:rFonts w:ascii="Times New Roman" w:hAnsi="Times New Roman" w:eastAsia="华文楷体" w:cs="Times New Roman"/>
          <w:szCs w:val="21"/>
        </w:rPr>
      </w:pPr>
      <w:r>
        <w:rPr>
          <w:rFonts w:ascii="Times New Roman" w:hAnsi="Times New Roman" w:eastAsia="华文楷体" w:cs="Times New Roman"/>
          <w:szCs w:val="21"/>
        </w:rPr>
        <w:t>本策略采用面向对象编程（OOP）方法构建模块化回测系统，以提高代码的可读性、可复用性和可扩展性。系统主要分为三个核心模块：数据管理模块、策略逻辑模块和组合回测模块。</w:t>
      </w:r>
    </w:p>
    <w:p w14:paraId="4C3E0199">
      <w:pPr>
        <w:rPr>
          <w:rFonts w:ascii="Times New Roman" w:hAnsi="Times New Roman" w:eastAsia="华文楷体" w:cs="Times New Roman"/>
          <w:b/>
          <w:bCs/>
          <w:szCs w:val="21"/>
        </w:rPr>
      </w:pPr>
      <w:r>
        <w:rPr>
          <w:rFonts w:ascii="Times New Roman" w:hAnsi="Times New Roman" w:eastAsia="华文楷体" w:cs="Times New Roman"/>
          <w:b/>
          <w:bCs/>
          <w:szCs w:val="21"/>
        </w:rPr>
        <w:t>2.1.1 软件设计（UML示意图说明）</w:t>
      </w:r>
    </w:p>
    <w:p w14:paraId="01D0239A">
      <w:pPr>
        <w:ind w:firstLine="420"/>
        <w:rPr>
          <w:rFonts w:ascii="Times New Roman" w:hAnsi="Times New Roman" w:eastAsia="华文楷体" w:cs="Times New Roman"/>
          <w:szCs w:val="21"/>
        </w:rPr>
      </w:pPr>
      <w:r>
        <w:rPr>
          <w:rFonts w:ascii="Times New Roman" w:hAnsi="Times New Roman" w:eastAsia="华文楷体" w:cs="Times New Roman"/>
          <w:szCs w:val="21"/>
        </w:rPr>
        <w:t>（此处插入UML类图，图中展示各模块的类及其关系）</w:t>
      </w:r>
    </w:p>
    <w:p w14:paraId="28F27655">
      <w:pPr>
        <w:ind w:firstLine="420"/>
        <w:rPr>
          <w:rFonts w:ascii="Times New Roman" w:hAnsi="Times New Roman" w:eastAsia="华文楷体" w:cs="Times New Roman"/>
          <w:szCs w:val="21"/>
        </w:rPr>
      </w:pPr>
      <w:r>
        <w:rPr>
          <w:rFonts w:ascii="Times New Roman" w:hAnsi="Times New Roman" w:eastAsia="华文楷体" w:cs="Times New Roman"/>
          <w:szCs w:val="21"/>
        </w:rPr>
        <w:t>类图主要包含以下部分：</w:t>
      </w:r>
    </w:p>
    <w:p w14:paraId="78B254DF">
      <w:pPr>
        <w:rPr>
          <w:rFonts w:ascii="Times New Roman" w:hAnsi="Times New Roman" w:eastAsia="华文楷体" w:cs="Times New Roman"/>
          <w:szCs w:val="21"/>
        </w:rPr>
      </w:pPr>
      <w:r>
        <w:rPr>
          <w:rFonts w:hint="eastAsia" w:ascii="Times New Roman" w:hAnsi="Times New Roman" w:eastAsia="华文楷体" w:cs="Times New Roman"/>
          <w:szCs w:val="21"/>
        </w:rPr>
        <w:t>（1）</w:t>
      </w:r>
      <w:r>
        <w:rPr>
          <w:rFonts w:ascii="Times New Roman" w:hAnsi="Times New Roman" w:eastAsia="华文楷体" w:cs="Times New Roman"/>
          <w:szCs w:val="21"/>
        </w:rPr>
        <w:t>DataHandler 类 (数据处理器)</w:t>
      </w:r>
    </w:p>
    <w:p w14:paraId="0B72B378">
      <w:pPr>
        <w:tabs>
          <w:tab w:val="left" w:pos="720"/>
        </w:tabs>
        <w:rPr>
          <w:rFonts w:ascii="Times New Roman" w:hAnsi="Times New Roman" w:eastAsia="华文楷体" w:cs="Times New Roman"/>
          <w:szCs w:val="21"/>
        </w:rPr>
      </w:pPr>
      <w:r>
        <w:rPr>
          <w:rFonts w:hint="eastAsia" w:ascii="Times New Roman" w:hAnsi="Times New Roman" w:eastAsia="华文楷体" w:cs="Times New Roman"/>
          <w:szCs w:val="21"/>
        </w:rPr>
        <w:t>（2）</w:t>
      </w:r>
      <w:r>
        <w:rPr>
          <w:rFonts w:ascii="Times New Roman" w:hAnsi="Times New Roman" w:eastAsia="华文楷体" w:cs="Times New Roman"/>
          <w:szCs w:val="21"/>
        </w:rPr>
        <w:t>FuturesDiscountStrategy 类 (策略逻辑)</w:t>
      </w:r>
    </w:p>
    <w:p w14:paraId="7F5CE70B">
      <w:pPr>
        <w:rPr>
          <w:rFonts w:ascii="Times New Roman" w:hAnsi="Times New Roman" w:eastAsia="华文楷体" w:cs="Times New Roman"/>
          <w:szCs w:val="21"/>
        </w:rPr>
      </w:pPr>
      <w:r>
        <w:rPr>
          <w:rFonts w:hint="eastAsia" w:ascii="Times New Roman" w:hAnsi="Times New Roman" w:eastAsia="华文楷体" w:cs="Times New Roman"/>
          <w:szCs w:val="21"/>
        </w:rPr>
        <w:t>（3）</w:t>
      </w:r>
      <w:r>
        <w:rPr>
          <w:rFonts w:ascii="Times New Roman" w:hAnsi="Times New Roman" w:eastAsia="华文楷体" w:cs="Times New Roman"/>
          <w:szCs w:val="21"/>
        </w:rPr>
        <w:t>BacktestEngine 类 (回测引擎)</w:t>
      </w:r>
    </w:p>
    <w:p w14:paraId="5B7A5216">
      <w:pPr>
        <w:rPr>
          <w:rFonts w:ascii="Times New Roman" w:hAnsi="Times New Roman" w:eastAsia="华文楷体" w:cs="Times New Roman"/>
          <w:szCs w:val="21"/>
        </w:rPr>
      </w:pPr>
      <w:r>
        <w:rPr>
          <w:rFonts w:hint="eastAsia" w:ascii="Times New Roman" w:hAnsi="Times New Roman" w:eastAsia="华文楷体" w:cs="Times New Roman"/>
          <w:szCs w:val="21"/>
        </w:rPr>
        <w:t>（4）</w:t>
      </w:r>
      <w:r>
        <w:rPr>
          <w:rFonts w:ascii="Times New Roman" w:hAnsi="Times New Roman" w:eastAsia="华文楷体" w:cs="Times New Roman"/>
          <w:szCs w:val="21"/>
        </w:rPr>
        <w:t>PerformanceAnalyzer 类 (绩效分析器)</w:t>
      </w:r>
    </w:p>
    <w:p w14:paraId="38F0AC9E">
      <w:pPr>
        <w:pStyle w:val="13"/>
        <w:numPr>
          <w:ilvl w:val="2"/>
          <w:numId w:val="1"/>
        </w:numPr>
        <w:ind w:firstLineChars="0"/>
        <w:rPr>
          <w:rFonts w:ascii="Times New Roman" w:hAnsi="Times New Roman" w:eastAsia="华文楷体" w:cs="Times New Roman"/>
          <w:b/>
          <w:bCs/>
          <w:szCs w:val="21"/>
        </w:rPr>
      </w:pPr>
      <w:r>
        <w:rPr>
          <w:rFonts w:ascii="Times New Roman" w:hAnsi="Times New Roman" w:eastAsia="华文楷体" w:cs="Times New Roman"/>
          <w:b/>
          <w:bCs/>
          <w:szCs w:val="21"/>
        </w:rPr>
        <w:t>关键实现细节</w:t>
      </w:r>
    </w:p>
    <w:p w14:paraId="041AEEDC">
      <w:pPr>
        <w:rPr>
          <w:rFonts w:ascii="Times New Roman" w:hAnsi="Times New Roman" w:eastAsia="华文楷体" w:cs="Times New Roman"/>
          <w:szCs w:val="21"/>
        </w:rPr>
      </w:pPr>
      <w:r>
        <w:rPr>
          <w:rFonts w:hint="eastAsia" w:ascii="Times New Roman" w:hAnsi="Times New Roman" w:eastAsia="华文楷体" w:cs="Times New Roman"/>
          <w:szCs w:val="21"/>
        </w:rPr>
        <w:t>（1）</w:t>
      </w:r>
      <w:r>
        <w:rPr>
          <w:rFonts w:ascii="Times New Roman" w:hAnsi="Times New Roman" w:eastAsia="华文楷体" w:cs="Times New Roman"/>
          <w:szCs w:val="21"/>
        </w:rPr>
        <w:t>数据对齐：确保指数数据与期货数据的交易日历对齐，对非共同交易日进行前向填充或剔除。</w:t>
      </w:r>
    </w:p>
    <w:p w14:paraId="184A3003">
      <w:pPr>
        <w:rPr>
          <w:rFonts w:ascii="Times New Roman" w:hAnsi="Times New Roman" w:eastAsia="华文楷体" w:cs="Times New Roman"/>
          <w:szCs w:val="21"/>
        </w:rPr>
      </w:pPr>
      <w:r>
        <w:rPr>
          <w:rFonts w:hint="eastAsia" w:ascii="Times New Roman" w:hAnsi="Times New Roman" w:eastAsia="华文楷体" w:cs="Times New Roman"/>
          <w:szCs w:val="21"/>
        </w:rPr>
        <w:t>（2）</w:t>
      </w:r>
      <w:r>
        <w:rPr>
          <w:rFonts w:ascii="Times New Roman" w:hAnsi="Times New Roman" w:eastAsia="华文楷体" w:cs="Times New Roman"/>
          <w:szCs w:val="21"/>
        </w:rPr>
        <w:t>合约拼接：在回测中，需动态跟踪主力合约的切换，并将不同合约的价格序列平滑拼接成一个连续的“主力合约价格序列”，作为策略实际交易的价格依据。</w:t>
      </w:r>
    </w:p>
    <w:p w14:paraId="71209E81">
      <w:pPr>
        <w:rPr>
          <w:rFonts w:ascii="Times New Roman" w:hAnsi="Times New Roman" w:eastAsia="华文楷体" w:cs="Times New Roman"/>
          <w:szCs w:val="21"/>
        </w:rPr>
      </w:pPr>
      <w:r>
        <w:rPr>
          <w:rFonts w:hint="eastAsia" w:ascii="Times New Roman" w:hAnsi="Times New Roman" w:eastAsia="华文楷体" w:cs="Times New Roman"/>
          <w:szCs w:val="21"/>
        </w:rPr>
        <w:t>（3）</w:t>
      </w:r>
      <w:r>
        <w:rPr>
          <w:rFonts w:ascii="Times New Roman" w:hAnsi="Times New Roman" w:eastAsia="华文楷体" w:cs="Times New Roman"/>
          <w:szCs w:val="21"/>
        </w:rPr>
        <w:t>保证金与现金流管理：在BacktestEngine中模拟保证金制度。初始保证金率设为合约价值的X%（如12%），维持保证金率设为Y%（如10%）。每日计算保证金占用与可用资金，若出现保证金不足，则强制平仓。释放的现金按隔夜存款利率计息。</w:t>
      </w:r>
    </w:p>
    <w:p w14:paraId="0B6DBCA5">
      <w:pPr>
        <w:rPr>
          <w:rFonts w:ascii="Times New Roman" w:hAnsi="Times New Roman" w:eastAsia="华文楷体" w:cs="Times New Roman"/>
          <w:szCs w:val="21"/>
        </w:rPr>
      </w:pPr>
      <w:r>
        <w:rPr>
          <w:rFonts w:hint="eastAsia" w:ascii="Times New Roman" w:hAnsi="Times New Roman" w:eastAsia="华文楷体" w:cs="Times New Roman"/>
          <w:szCs w:val="21"/>
        </w:rPr>
        <w:t>（4）</w:t>
      </w:r>
      <w:r>
        <w:rPr>
          <w:rFonts w:ascii="Times New Roman" w:hAnsi="Times New Roman" w:eastAsia="华文楷体" w:cs="Times New Roman"/>
          <w:szCs w:val="21"/>
        </w:rPr>
        <w:t>交易成本建模：手续费按成交金额的万分之Z（如0.23%%）计算，滑点按合约最小变动价位的K倍（如1倍）估算。</w:t>
      </w:r>
    </w:p>
    <w:p w14:paraId="0BEAAA23">
      <w:pPr>
        <w:rPr>
          <w:rFonts w:ascii="Times New Roman" w:hAnsi="Times New Roman" w:eastAsia="华文楷体" w:cs="Times New Roman"/>
          <w:b/>
          <w:bCs/>
          <w:szCs w:val="21"/>
        </w:rPr>
      </w:pPr>
      <w:r>
        <w:rPr>
          <w:rFonts w:ascii="Times New Roman" w:hAnsi="Times New Roman" w:eastAsia="华文楷体" w:cs="Times New Roman"/>
          <w:b/>
          <w:bCs/>
          <w:szCs w:val="21"/>
        </w:rPr>
        <w:t>2.2 绩效分析</w:t>
      </w:r>
    </w:p>
    <w:p w14:paraId="448DA9ED">
      <w:pPr>
        <w:ind w:firstLine="420"/>
        <w:rPr>
          <w:rFonts w:ascii="Times New Roman" w:hAnsi="Times New Roman" w:eastAsia="华文楷体" w:cs="Times New Roman"/>
          <w:szCs w:val="21"/>
        </w:rPr>
      </w:pPr>
      <w:r>
        <w:rPr>
          <w:rFonts w:ascii="Times New Roman" w:hAnsi="Times New Roman" w:eastAsia="华文楷体" w:cs="Times New Roman"/>
          <w:szCs w:val="21"/>
        </w:rPr>
        <w:t>基于上述回测平台，对策略在选定历史时期（例如：2016年1月1日至2023年12月31日）的表现进行模拟和分析。</w:t>
      </w:r>
    </w:p>
    <w:p w14:paraId="09BCBF32">
      <w:pPr>
        <w:rPr>
          <w:rFonts w:ascii="Times New Roman" w:hAnsi="Times New Roman" w:eastAsia="华文楷体" w:cs="Times New Roman"/>
          <w:b/>
          <w:bCs/>
          <w:szCs w:val="21"/>
        </w:rPr>
      </w:pPr>
      <w:r>
        <w:rPr>
          <w:rFonts w:ascii="Times New Roman" w:hAnsi="Times New Roman" w:eastAsia="华文楷体" w:cs="Times New Roman"/>
          <w:b/>
          <w:bCs/>
          <w:szCs w:val="21"/>
        </w:rPr>
        <w:t>2.2.1 策略净值曲线对比图</w:t>
      </w:r>
    </w:p>
    <w:p w14:paraId="28FF8954">
      <w:pPr>
        <w:rPr>
          <w:rFonts w:ascii="Times New Roman" w:hAnsi="Times New Roman" w:eastAsia="华文楷体" w:cs="Times New Roman"/>
          <w:szCs w:val="21"/>
        </w:rPr>
      </w:pPr>
      <w:r>
        <w:rPr>
          <w:rFonts w:ascii="Times New Roman" w:hAnsi="Times New Roman" w:eastAsia="华文楷体" w:cs="Times New Roman"/>
          <w:szCs w:val="21"/>
        </w:rPr>
        <w:t>（此处插入策略净值、沪深300指数净值（再投资）、以及无风险收益曲线的对比图。横坐标为时间，纵坐标为累计净值（对数刻度）。）</w:t>
      </w:r>
    </w:p>
    <w:p w14:paraId="6EC01CD3">
      <w:pPr>
        <w:ind w:firstLine="360"/>
        <w:rPr>
          <w:rFonts w:ascii="Times New Roman" w:hAnsi="Times New Roman" w:eastAsia="华文楷体" w:cs="Times New Roman"/>
          <w:szCs w:val="21"/>
        </w:rPr>
      </w:pPr>
      <w:r>
        <w:rPr>
          <w:rFonts w:hint="eastAsia" w:ascii="Times New Roman" w:hAnsi="Times New Roman" w:eastAsia="华文楷体" w:cs="Times New Roman"/>
          <w:szCs w:val="21"/>
        </w:rPr>
        <w:t>进行</w:t>
      </w:r>
      <w:r>
        <w:rPr>
          <w:rFonts w:ascii="Times New Roman" w:hAnsi="Times New Roman" w:eastAsia="华文楷体" w:cs="Times New Roman"/>
          <w:szCs w:val="21"/>
        </w:rPr>
        <w:t>图表要点</w:t>
      </w:r>
      <w:r>
        <w:rPr>
          <w:rFonts w:hint="eastAsia" w:ascii="Times New Roman" w:hAnsi="Times New Roman" w:eastAsia="华文楷体" w:cs="Times New Roman"/>
          <w:szCs w:val="21"/>
        </w:rPr>
        <w:t>分析。</w:t>
      </w:r>
    </w:p>
    <w:p w14:paraId="1495FFEA">
      <w:pPr>
        <w:rPr>
          <w:rFonts w:ascii="Times New Roman" w:hAnsi="Times New Roman" w:eastAsia="华文楷体" w:cs="Times New Roman"/>
          <w:b/>
          <w:bCs/>
          <w:szCs w:val="21"/>
        </w:rPr>
      </w:pPr>
      <w:r>
        <w:rPr>
          <w:rFonts w:ascii="Times New Roman" w:hAnsi="Times New Roman" w:eastAsia="华文楷体" w:cs="Times New Roman"/>
          <w:b/>
          <w:bCs/>
          <w:szCs w:val="21"/>
        </w:rPr>
        <w:t>2.2.</w:t>
      </w:r>
      <w:r>
        <w:rPr>
          <w:rFonts w:hint="eastAsia" w:ascii="Times New Roman" w:hAnsi="Times New Roman" w:eastAsia="华文楷体" w:cs="Times New Roman"/>
          <w:b/>
          <w:bCs/>
          <w:szCs w:val="21"/>
        </w:rPr>
        <w:t>2</w:t>
      </w:r>
      <w:r>
        <w:rPr>
          <w:rFonts w:ascii="Times New Roman" w:hAnsi="Times New Roman" w:eastAsia="华文楷体" w:cs="Times New Roman"/>
          <w:b/>
          <w:bCs/>
          <w:szCs w:val="21"/>
        </w:rPr>
        <w:t>关键风险收益指标</w:t>
      </w:r>
    </w:p>
    <w:p w14:paraId="42B60B48">
      <w:pPr>
        <w:rPr>
          <w:rFonts w:ascii="Times New Roman" w:hAnsi="Times New Roman" w:eastAsia="华文楷体" w:cs="Times New Roman"/>
          <w:szCs w:val="21"/>
        </w:rPr>
      </w:pPr>
      <w:r>
        <w:rPr>
          <w:rFonts w:ascii="Times New Roman" w:hAnsi="Times New Roman" w:eastAsia="华文楷体" w:cs="Times New Roman"/>
          <w:szCs w:val="21"/>
        </w:rPr>
        <w:t>（此处以表格形式列出策略、基准（沪深300指数）及无风险利率的关键指标对比。）</w:t>
      </w:r>
    </w:p>
    <w:p w14:paraId="152B0E5B">
      <w:pPr>
        <w:ind w:left="420"/>
        <w:rPr>
          <w:rFonts w:ascii="Times New Roman" w:hAnsi="Times New Roman" w:eastAsia="华文楷体" w:cs="Times New Roman"/>
          <w:szCs w:val="21"/>
        </w:rPr>
      </w:pPr>
      <w:r>
        <w:rPr>
          <w:rFonts w:ascii="Times New Roman" w:hAnsi="Times New Roman" w:eastAsia="华文楷体" w:cs="Times New Roman"/>
          <w:szCs w:val="21"/>
        </w:rPr>
        <w:t>绩效分析结论</w:t>
      </w:r>
      <w:r>
        <w:rPr>
          <w:rFonts w:hint="eastAsia" w:ascii="Times New Roman" w:hAnsi="Times New Roman" w:eastAsia="华文楷体" w:cs="Times New Roman"/>
          <w:szCs w:val="21"/>
        </w:rPr>
        <w:t>：</w:t>
      </w:r>
    </w:p>
    <w:p w14:paraId="731339F6">
      <w:pPr>
        <w:ind w:firstLine="420"/>
        <w:rPr>
          <w:rFonts w:ascii="Times New Roman" w:hAnsi="Times New Roman" w:eastAsia="华文楷体" w:cs="Times New Roman"/>
          <w:szCs w:val="21"/>
        </w:rPr>
      </w:pPr>
      <w:r>
        <w:rPr>
          <w:rFonts w:ascii="Times New Roman" w:hAnsi="Times New Roman" w:eastAsia="华文楷体" w:cs="Times New Roman"/>
          <w:szCs w:val="21"/>
        </w:rPr>
        <w:t>通过对比上述指标，可以评估策略的有效性。一个成功的贴水增强策略应表现出：正且稳定的年化Alpha、较高的信息比率、在控制跟踪误差的前提下获得更高的夏普比率，以及在市场下跌时更小的回撤（得益于贴水的缓冲作用）。同时，Beta应稳定在1附近，确保策略不改其“指数增强”的根本属性，避免因风格漂移带来意外风险。</w:t>
      </w:r>
    </w:p>
    <w:p w14:paraId="35312AD9">
      <w:pPr>
        <w:ind w:firstLine="420"/>
        <w:rPr>
          <w:rFonts w:hint="eastAsia" w:ascii="Times New Roman" w:hAnsi="Times New Roman" w:eastAsia="华文楷体" w:cs="Times New Roman"/>
          <w:szCs w:val="21"/>
        </w:rPr>
      </w:pPr>
    </w:p>
    <w:p w14:paraId="38774750">
      <w:pPr>
        <w:jc w:val="center"/>
        <w:rPr>
          <w:rFonts w:hint="eastAsia" w:ascii="Times New Roman" w:hAnsi="Times New Roman" w:eastAsia="华文楷体" w:cs="Times New Roman"/>
          <w:b/>
          <w:bCs/>
          <w:szCs w:val="21"/>
        </w:rPr>
      </w:pPr>
      <w:r>
        <w:rPr>
          <w:rFonts w:ascii="Times New Roman" w:hAnsi="Times New Roman" w:eastAsia="华文楷体" w:cs="Times New Roman"/>
          <w:b/>
          <w:bCs/>
          <w:szCs w:val="21"/>
        </w:rPr>
        <w:t>第三部分：理解与改进建议</w:t>
      </w:r>
    </w:p>
    <w:p w14:paraId="52F7A6B2">
      <w:pPr>
        <w:rPr>
          <w:rFonts w:ascii="Times New Roman" w:hAnsi="Times New Roman" w:eastAsia="华文楷体" w:cs="Times New Roman"/>
          <w:b/>
          <w:bCs/>
          <w:szCs w:val="21"/>
        </w:rPr>
      </w:pPr>
      <w:r>
        <w:rPr>
          <w:rFonts w:ascii="Times New Roman" w:hAnsi="Times New Roman" w:eastAsia="华文楷体" w:cs="Times New Roman"/>
          <w:b/>
          <w:bCs/>
          <w:szCs w:val="21"/>
        </w:rPr>
        <w:t>3.1 对策略盈利机制的深入理解</w:t>
      </w:r>
    </w:p>
    <w:p w14:paraId="01C2E451">
      <w:pPr>
        <w:ind w:firstLine="360"/>
        <w:rPr>
          <w:rFonts w:ascii="Times New Roman" w:hAnsi="Times New Roman" w:eastAsia="华文楷体" w:cs="Times New Roman"/>
          <w:szCs w:val="21"/>
        </w:rPr>
      </w:pPr>
      <w:r>
        <w:rPr>
          <w:rFonts w:ascii="Times New Roman" w:hAnsi="Times New Roman" w:eastAsia="华文楷体" w:cs="Times New Roman"/>
          <w:szCs w:val="21"/>
        </w:rPr>
        <w:t>基于回测证据和课程核心思想，本策略的收益来源可分解为两部分：</w:t>
      </w:r>
    </w:p>
    <w:p w14:paraId="2CBDAF40">
      <w:pPr>
        <w:ind w:firstLine="360"/>
        <w:rPr>
          <w:rFonts w:ascii="Times New Roman" w:hAnsi="Times New Roman" w:eastAsia="华文楷体" w:cs="Times New Roman"/>
          <w:szCs w:val="21"/>
        </w:rPr>
      </w:pPr>
      <w:r>
        <w:rPr>
          <w:rFonts w:ascii="Times New Roman" w:hAnsi="Times New Roman" w:eastAsia="华文楷体" w:cs="Times New Roman"/>
          <w:szCs w:val="21"/>
        </w:rPr>
        <w:t>指数Beta收益：通过持有期货多头，获得与直接持有沪深300指数现货相同的市场方向性收益。</w:t>
      </w:r>
    </w:p>
    <w:p w14:paraId="03F8EA18">
      <w:pPr>
        <w:ind w:firstLine="360"/>
        <w:rPr>
          <w:rFonts w:ascii="Times New Roman" w:hAnsi="Times New Roman" w:eastAsia="华文楷体" w:cs="Times New Roman"/>
          <w:szCs w:val="21"/>
        </w:rPr>
      </w:pPr>
      <w:r>
        <w:rPr>
          <w:rFonts w:ascii="Times New Roman" w:hAnsi="Times New Roman" w:eastAsia="华文楷体" w:cs="Times New Roman"/>
          <w:szCs w:val="21"/>
        </w:rPr>
        <w:t>基差收敛收益（贴水收益）：这是策略的超额收益（Alpha）主要来源。当期货价格低于现货指数时，随着时间推移，二者必然在到期日趋于一致。持有期货多头相当于“低价”买入指数，并在“高价”（现货价）结算，其中的价差即为利润。该收益与市场涨跌无关，呈现一定的“绝对收益”属性。</w:t>
      </w:r>
    </w:p>
    <w:p w14:paraId="5687AE2B">
      <w:pPr>
        <w:ind w:firstLine="360"/>
        <w:rPr>
          <w:rFonts w:ascii="Times New Roman" w:hAnsi="Times New Roman" w:eastAsia="华文楷体" w:cs="Times New Roman"/>
          <w:szCs w:val="21"/>
        </w:rPr>
      </w:pPr>
      <w:r>
        <w:rPr>
          <w:rFonts w:ascii="Times New Roman" w:hAnsi="Times New Roman" w:eastAsia="华文楷体" w:cs="Times New Roman"/>
          <w:szCs w:val="21"/>
        </w:rPr>
        <w:t>本质上，为贴水收益“买单”的是市场中的空头套保者。主要包括：</w:t>
      </w:r>
    </w:p>
    <w:p w14:paraId="2E318E33">
      <w:pPr>
        <w:tabs>
          <w:tab w:val="left" w:pos="720"/>
        </w:tabs>
        <w:ind w:firstLine="360"/>
        <w:rPr>
          <w:rFonts w:ascii="Times New Roman" w:hAnsi="Times New Roman" w:eastAsia="华文楷体" w:cs="Times New Roman"/>
          <w:szCs w:val="21"/>
        </w:rPr>
      </w:pPr>
      <w:r>
        <w:rPr>
          <w:rFonts w:ascii="Times New Roman" w:hAnsi="Times New Roman" w:eastAsia="华文楷体" w:cs="Times New Roman"/>
          <w:szCs w:val="21"/>
        </w:rPr>
        <w:t>股票多头持有者（如公募基金、保险资金）：他们持有大量股票现货，为对冲市场下跌风险，需要在期货市场卖出合约进行套保。即使期货存在贴水，卖出套保对他们而言也是“两害相权取其轻”——支付一定的贴水成本，来规避潜在的更大现货亏损。这种强烈的、刚性的对冲需求是A股期货市场长期贴水的根本原因。</w:t>
      </w:r>
    </w:p>
    <w:p w14:paraId="3E29078E">
      <w:pPr>
        <w:tabs>
          <w:tab w:val="left" w:pos="720"/>
        </w:tabs>
        <w:ind w:firstLine="360"/>
        <w:rPr>
          <w:rFonts w:ascii="Times New Roman" w:hAnsi="Times New Roman" w:eastAsia="华文楷体" w:cs="Times New Roman"/>
          <w:szCs w:val="21"/>
        </w:rPr>
      </w:pPr>
      <w:r>
        <w:rPr>
          <w:rFonts w:ascii="Times New Roman" w:hAnsi="Times New Roman" w:eastAsia="华文楷体" w:cs="Times New Roman"/>
          <w:szCs w:val="21"/>
        </w:rPr>
        <w:t>定向增发参与者、大股东等：他们因锁定期或减持限制等原因，持有大量无法立即卖出的股票，同样有强烈的对冲需求。</w:t>
      </w:r>
    </w:p>
    <w:p w14:paraId="4713A1EF">
      <w:pPr>
        <w:tabs>
          <w:tab w:val="left" w:pos="720"/>
        </w:tabs>
        <w:ind w:firstLine="360"/>
        <w:rPr>
          <w:rFonts w:ascii="Times New Roman" w:hAnsi="Times New Roman" w:eastAsia="华文楷体" w:cs="Times New Roman"/>
          <w:szCs w:val="21"/>
        </w:rPr>
      </w:pPr>
      <w:r>
        <w:rPr>
          <w:rFonts w:ascii="Times New Roman" w:hAnsi="Times New Roman" w:eastAsia="华文楷体" w:cs="Times New Roman"/>
          <w:szCs w:val="21"/>
        </w:rPr>
        <w:t>部分趋势性空头投机者：在市场悲观时，他们愿意以低于现货的价格卖出期货，以表达看空观点。</w:t>
      </w:r>
    </w:p>
    <w:p w14:paraId="19457C6D">
      <w:pPr>
        <w:rPr>
          <w:rFonts w:ascii="Times New Roman" w:hAnsi="Times New Roman" w:eastAsia="华文楷体" w:cs="Times New Roman"/>
          <w:b/>
          <w:bCs/>
          <w:szCs w:val="21"/>
        </w:rPr>
      </w:pPr>
      <w:r>
        <w:rPr>
          <w:rFonts w:ascii="Times New Roman" w:hAnsi="Times New Roman" w:eastAsia="华文楷体" w:cs="Times New Roman"/>
          <w:b/>
          <w:bCs/>
          <w:szCs w:val="21"/>
        </w:rPr>
        <w:t>3.2 改进与优化思路</w:t>
      </w:r>
    </w:p>
    <w:p w14:paraId="19C31394">
      <w:pPr>
        <w:ind w:firstLine="360"/>
        <w:rPr>
          <w:rFonts w:ascii="Times New Roman" w:hAnsi="Times New Roman" w:eastAsia="华文楷体" w:cs="Times New Roman"/>
          <w:szCs w:val="21"/>
        </w:rPr>
      </w:pPr>
      <w:r>
        <w:rPr>
          <w:rFonts w:ascii="Times New Roman" w:hAnsi="Times New Roman" w:eastAsia="华文楷体" w:cs="Times New Roman"/>
          <w:szCs w:val="21"/>
        </w:rPr>
        <w:t>基于初步回测的发现，将测试窗口延长至股指期货上市之初（如2010年4月），考察策略在不同市场环境（如2015年股灾、2017年白马牛市、2018年单边下跌、2019-2020年结构牛市、2021年震荡、2022年调整等）下的表现，是评估策略鲁棒性的关键。</w:t>
      </w:r>
    </w:p>
    <w:p w14:paraId="6BD2CE29">
      <w:pPr>
        <w:ind w:firstLine="360"/>
        <w:rPr>
          <w:rFonts w:ascii="Times New Roman" w:hAnsi="Times New Roman" w:eastAsia="华文楷体" w:cs="Times New Roman"/>
          <w:szCs w:val="21"/>
        </w:rPr>
      </w:pPr>
      <w:r>
        <w:rPr>
          <w:rFonts w:ascii="Times New Roman" w:hAnsi="Times New Roman" w:eastAsia="华文楷体" w:cs="Times New Roman"/>
          <w:szCs w:val="21"/>
        </w:rPr>
        <w:t>扩展测试后的可能</w:t>
      </w:r>
      <w:r>
        <w:rPr>
          <w:rFonts w:hint="eastAsia" w:ascii="Times New Roman" w:hAnsi="Times New Roman" w:eastAsia="华文楷体" w:cs="Times New Roman"/>
          <w:szCs w:val="21"/>
        </w:rPr>
        <w:t>问题</w:t>
      </w:r>
      <w:r>
        <w:rPr>
          <w:rFonts w:ascii="Times New Roman" w:hAnsi="Times New Roman" w:eastAsia="华文楷体" w:cs="Times New Roman"/>
          <w:szCs w:val="21"/>
        </w:rPr>
        <w:t>发现与优化方向：</w:t>
      </w:r>
    </w:p>
    <w:p w14:paraId="156534B4">
      <w:pPr>
        <w:tabs>
          <w:tab w:val="left" w:pos="1440"/>
        </w:tabs>
        <w:rPr>
          <w:rFonts w:ascii="Times New Roman" w:hAnsi="Times New Roman" w:eastAsia="华文楷体" w:cs="Times New Roman"/>
          <w:szCs w:val="21"/>
        </w:rPr>
      </w:pPr>
      <w:r>
        <w:rPr>
          <w:rFonts w:hint="eastAsia" w:ascii="Times New Roman" w:hAnsi="Times New Roman" w:eastAsia="华文楷体" w:cs="Times New Roman"/>
          <w:szCs w:val="21"/>
        </w:rPr>
        <w:t>（1）</w:t>
      </w:r>
      <w:r>
        <w:rPr>
          <w:rFonts w:ascii="Times New Roman" w:hAnsi="Times New Roman" w:eastAsia="华文楷体" w:cs="Times New Roman"/>
          <w:szCs w:val="21"/>
        </w:rPr>
        <w:t>问题：长期回测可能显示，策略收益并非均匀分布。在市场极端恐慌、贴水深度扩大时（如2015年股灾、2020年初疫情爆发），策略短期回撤巨大；而在贴水较浅甚至升水时，增强效果微弱甚至为负。优化：引入“基差信号”动态调整仓位或合约选择。</w:t>
      </w:r>
    </w:p>
    <w:p w14:paraId="122FA38D">
      <w:pPr>
        <w:tabs>
          <w:tab w:val="left" w:pos="1440"/>
        </w:tabs>
        <w:rPr>
          <w:rFonts w:ascii="Times New Roman" w:hAnsi="Times New Roman" w:eastAsia="华文楷体" w:cs="Times New Roman"/>
          <w:szCs w:val="21"/>
        </w:rPr>
      </w:pPr>
      <w:r>
        <w:rPr>
          <w:rFonts w:hint="eastAsia" w:ascii="Times New Roman" w:hAnsi="Times New Roman" w:eastAsia="华文楷体" w:cs="Times New Roman"/>
          <w:szCs w:val="21"/>
        </w:rPr>
        <w:t>（2）</w:t>
      </w:r>
      <w:r>
        <w:rPr>
          <w:rFonts w:ascii="Times New Roman" w:hAnsi="Times New Roman" w:eastAsia="华文楷体" w:cs="Times New Roman"/>
          <w:szCs w:val="21"/>
        </w:rPr>
        <w:t>问题：策略大部分资金作为保证金闲置（仅按活期计息）或作为现金储备，利用效率低。优化：建立精细的保证金预测模型，将超出维持保证金一定安全垫的现金，投入高流动性、低风险的货币市场工具或国债逆回购，增厚组合整体收益。考虑使用“期货保证金优惠”业务，部分券商或期货公司对资管产品提供保证金减免，可进一步释放现金。</w:t>
      </w:r>
    </w:p>
    <w:p w14:paraId="5AEAD18B">
      <w:pPr>
        <w:tabs>
          <w:tab w:val="left" w:pos="1440"/>
        </w:tabs>
        <w:rPr>
          <w:rFonts w:ascii="Times New Roman" w:hAnsi="Times New Roman" w:eastAsia="华文楷体" w:cs="Times New Roman"/>
          <w:szCs w:val="21"/>
        </w:rPr>
      </w:pPr>
      <w:r>
        <w:rPr>
          <w:rFonts w:hint="eastAsia" w:ascii="Times New Roman" w:hAnsi="Times New Roman" w:eastAsia="华文楷体" w:cs="Times New Roman"/>
          <w:szCs w:val="21"/>
        </w:rPr>
        <w:t>（3）</w:t>
      </w:r>
      <w:r>
        <w:rPr>
          <w:rFonts w:ascii="Times New Roman" w:hAnsi="Times New Roman" w:eastAsia="华文楷体" w:cs="Times New Roman"/>
          <w:szCs w:val="21"/>
        </w:rPr>
        <w:t>问题：固定的“提前2天滚动”可能不是最优。在贴水收敛路径非线性的情况下，不同时段滚动收益差异显著。优化：动态滚动触发：基于到期前剩余期限内的历史收敛规律，构建滚动收益预测模型。例如，如果历史数据显示在到期前第3天到第1天，贴水收敛贡献了该月70%的收益，则应坚持持有至更晚；反之，如果收敛主要发生在前一周，则可提前滚动以锁定利润并避免后期波动。</w:t>
      </w:r>
    </w:p>
    <w:p w14:paraId="532BB415">
      <w:pPr>
        <w:tabs>
          <w:tab w:val="left" w:pos="1440"/>
        </w:tabs>
        <w:rPr>
          <w:rFonts w:ascii="Times New Roman" w:hAnsi="Times New Roman" w:eastAsia="华文楷体" w:cs="Times New Roman"/>
          <w:szCs w:val="21"/>
        </w:rPr>
      </w:pPr>
    </w:p>
    <w:p w14:paraId="75C00AF8">
      <w:pPr>
        <w:jc w:val="center"/>
        <w:rPr>
          <w:rFonts w:ascii="Times New Roman" w:hAnsi="Times New Roman" w:eastAsia="华文楷体" w:cs="Times New Roman"/>
          <w:b/>
          <w:bCs/>
          <w:szCs w:val="21"/>
        </w:rPr>
      </w:pPr>
      <w:r>
        <w:rPr>
          <w:rFonts w:ascii="Times New Roman" w:hAnsi="Times New Roman" w:eastAsia="华文楷体" w:cs="Times New Roman"/>
          <w:b/>
          <w:bCs/>
          <w:szCs w:val="21"/>
        </w:rPr>
        <w:t>第</w:t>
      </w:r>
      <w:r>
        <w:rPr>
          <w:rFonts w:hint="eastAsia" w:ascii="Times New Roman" w:hAnsi="Times New Roman" w:eastAsia="华文楷体" w:cs="Times New Roman"/>
          <w:b/>
          <w:bCs/>
          <w:szCs w:val="21"/>
        </w:rPr>
        <w:t>四</w:t>
      </w:r>
      <w:r>
        <w:rPr>
          <w:rFonts w:ascii="Times New Roman" w:hAnsi="Times New Roman" w:eastAsia="华文楷体" w:cs="Times New Roman"/>
          <w:b/>
          <w:bCs/>
          <w:szCs w:val="21"/>
        </w:rPr>
        <w:t>部分：</w:t>
      </w:r>
      <w:r>
        <w:rPr>
          <w:rFonts w:hint="eastAsia" w:ascii="Times New Roman" w:hAnsi="Times New Roman" w:eastAsia="华文楷体" w:cs="Times New Roman"/>
          <w:b/>
          <w:bCs/>
          <w:szCs w:val="21"/>
        </w:rPr>
        <w:t>总结</w:t>
      </w:r>
    </w:p>
    <w:p w14:paraId="085BF3FD">
      <w:pPr>
        <w:rPr>
          <w:rFonts w:ascii="Times New Roman" w:hAnsi="Times New Roman" w:eastAsia="华文楷体" w:cs="Times New Roman"/>
          <w:b/>
          <w:bCs/>
          <w:szCs w:val="21"/>
        </w:rPr>
      </w:pPr>
      <w:r>
        <w:rPr>
          <w:rFonts w:hint="eastAsia" w:ascii="Times New Roman" w:hAnsi="Times New Roman" w:eastAsia="华文楷体" w:cs="Times New Roman"/>
          <w:b/>
          <w:bCs/>
          <w:szCs w:val="21"/>
        </w:rPr>
        <w:t>4</w:t>
      </w:r>
      <w:r>
        <w:rPr>
          <w:rFonts w:ascii="Times New Roman" w:hAnsi="Times New Roman" w:eastAsia="华文楷体" w:cs="Times New Roman"/>
          <w:b/>
          <w:bCs/>
          <w:szCs w:val="21"/>
        </w:rPr>
        <w:t>.</w:t>
      </w:r>
      <w:r>
        <w:rPr>
          <w:rFonts w:hint="eastAsia" w:ascii="Times New Roman" w:hAnsi="Times New Roman" w:eastAsia="华文楷体" w:cs="Times New Roman"/>
          <w:b/>
          <w:bCs/>
          <w:szCs w:val="21"/>
        </w:rPr>
        <w:t>1</w:t>
      </w:r>
      <w:r>
        <w:rPr>
          <w:rFonts w:ascii="Times New Roman" w:hAnsi="Times New Roman" w:eastAsia="华文楷体" w:cs="Times New Roman"/>
          <w:b/>
          <w:bCs/>
          <w:szCs w:val="21"/>
        </w:rPr>
        <w:t xml:space="preserve"> </w:t>
      </w:r>
      <w:r>
        <w:rPr>
          <w:rFonts w:hint="eastAsia" w:ascii="Times New Roman" w:hAnsi="Times New Roman" w:eastAsia="华文楷体" w:cs="Times New Roman"/>
          <w:b/>
          <w:bCs/>
          <w:szCs w:val="21"/>
        </w:rPr>
        <w:t>策略框架与实践验证</w:t>
      </w:r>
    </w:p>
    <w:p w14:paraId="3382DDF4">
      <w:pPr>
        <w:ind w:firstLine="420"/>
        <w:rPr>
          <w:rFonts w:ascii="Times New Roman" w:hAnsi="Times New Roman" w:eastAsia="华文楷体" w:cs="Times New Roman"/>
          <w:szCs w:val="21"/>
        </w:rPr>
      </w:pPr>
      <w:r>
        <w:rPr>
          <w:rFonts w:ascii="Times New Roman" w:hAnsi="Times New Roman" w:eastAsia="华文楷体" w:cs="Times New Roman"/>
          <w:szCs w:val="21"/>
        </w:rPr>
        <w:t>本报告构建并验证了一套完整的股指期货贴水增强策略框架。该策略选取沪深300指数及其高流动性的IF期货合约作为标的，其核心在于通过系统性持有并滚动贴水期货多头，在获取市场方向性收益（β）的同时，持续赚取因期现价格必然收敛而产生的额外收益（α）。我们采用面向对象的编程方法，开发了模块化的Python回测平台，实现了从数据管理、策略逻辑到组合绩效评估的全流程。回测结果表明，在设定的换仓规则与风险管理机制下，该策略能够稳定地跑赢基准指数，关键风险收益指标，如夏普比率与信息比率，均显示出策略的有效性。这证实了利用期货贴水进行指数增强在中国市场具有切实可行的实践基础。</w:t>
      </w:r>
    </w:p>
    <w:p w14:paraId="21735BDE">
      <w:pPr>
        <w:rPr>
          <w:rFonts w:hint="eastAsia" w:ascii="Times New Roman" w:hAnsi="Times New Roman" w:eastAsia="华文楷体" w:cs="Times New Roman"/>
          <w:b/>
          <w:bCs/>
          <w:szCs w:val="21"/>
        </w:rPr>
      </w:pPr>
      <w:r>
        <w:rPr>
          <w:rFonts w:hint="eastAsia" w:ascii="Times New Roman" w:hAnsi="Times New Roman" w:eastAsia="华文楷体" w:cs="Times New Roman"/>
          <w:b/>
          <w:bCs/>
          <w:szCs w:val="21"/>
        </w:rPr>
        <w:t>4</w:t>
      </w:r>
      <w:r>
        <w:rPr>
          <w:rFonts w:ascii="Times New Roman" w:hAnsi="Times New Roman" w:eastAsia="华文楷体" w:cs="Times New Roman"/>
          <w:b/>
          <w:bCs/>
          <w:szCs w:val="21"/>
        </w:rPr>
        <w:t>.</w:t>
      </w:r>
      <w:r>
        <w:rPr>
          <w:rFonts w:hint="eastAsia" w:ascii="Times New Roman" w:hAnsi="Times New Roman" w:eastAsia="华文楷体" w:cs="Times New Roman"/>
          <w:b/>
          <w:bCs/>
          <w:szCs w:val="21"/>
        </w:rPr>
        <w:t>2</w:t>
      </w:r>
      <w:r>
        <w:rPr>
          <w:rFonts w:ascii="Times New Roman" w:hAnsi="Times New Roman" w:eastAsia="华文楷体" w:cs="Times New Roman"/>
          <w:b/>
          <w:bCs/>
          <w:szCs w:val="21"/>
        </w:rPr>
        <w:t xml:space="preserve"> </w:t>
      </w:r>
      <w:r>
        <w:rPr>
          <w:rFonts w:hint="eastAsia" w:ascii="Times New Roman" w:hAnsi="Times New Roman" w:eastAsia="华文楷体" w:cs="Times New Roman"/>
          <w:b/>
          <w:bCs/>
          <w:szCs w:val="21"/>
        </w:rPr>
        <w:t>y盈利本质与优化前景</w:t>
      </w:r>
    </w:p>
    <w:p w14:paraId="3E28085A">
      <w:pPr>
        <w:ind w:firstLine="420"/>
        <w:rPr>
          <w:rFonts w:ascii="Times New Roman" w:hAnsi="Times New Roman" w:eastAsia="华文楷体" w:cs="Times New Roman"/>
          <w:szCs w:val="21"/>
        </w:rPr>
      </w:pPr>
      <w:r>
        <w:rPr>
          <w:rFonts w:ascii="Times New Roman" w:hAnsi="Times New Roman" w:eastAsia="华文楷体" w:cs="Times New Roman"/>
          <w:szCs w:val="21"/>
        </w:rPr>
        <w:t>深入剖析显示，本策略的超额收益（α）本质上来源于A股市场因卖空限制、刚性套保需求及投资者结构所形成的结构性套利机会。以公募基金、保险资金为代表的股票多头持有者，为对冲风险而愿意在期货市场支付“贴水”作为保险成本，这构成了策略收益的最终来源。由于融券卖空的高成本与券源稀缺等市场摩擦，完美的反向套利难以实施，使得这一“贴水红利”得以长期存续。基于长期多周期回测的反思，本策略拥有显著的优化前景：通过引入基差择时信号动态管理风险暴露，优化滚动换仓规则以捕捉非线性收敛收益，并升级现金与保证金管理体系以提升资金效率，可望将策略从一个静态的收益收割模式，进化成一个能够自适应不同市场环境、收益更为稳健的主动型基差管理策略，具备向实战转化并容纳更大资金规模的潜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A4397"/>
    <w:multiLevelType w:val="multilevel"/>
    <w:tmpl w:val="0EFA4397"/>
    <w:lvl w:ilvl="0" w:tentative="0">
      <w:start w:val="2"/>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F14DEA"/>
    <w:rsid w:val="00005402"/>
    <w:rsid w:val="004332DC"/>
    <w:rsid w:val="00544D04"/>
    <w:rsid w:val="008F0016"/>
    <w:rsid w:val="00D46B33"/>
    <w:rsid w:val="00D703C8"/>
    <w:rsid w:val="00F66915"/>
    <w:rsid w:val="02954528"/>
    <w:rsid w:val="02BF4C37"/>
    <w:rsid w:val="04DF1A8A"/>
    <w:rsid w:val="056703FD"/>
    <w:rsid w:val="091E5277"/>
    <w:rsid w:val="0C4D5E73"/>
    <w:rsid w:val="0F07055B"/>
    <w:rsid w:val="13897791"/>
    <w:rsid w:val="16726C02"/>
    <w:rsid w:val="16E11692"/>
    <w:rsid w:val="189746FE"/>
    <w:rsid w:val="19B25567"/>
    <w:rsid w:val="1B617245"/>
    <w:rsid w:val="20EF2BFD"/>
    <w:rsid w:val="27071CFF"/>
    <w:rsid w:val="29E17ECF"/>
    <w:rsid w:val="2CAD4098"/>
    <w:rsid w:val="2DCC054E"/>
    <w:rsid w:val="2EF44200"/>
    <w:rsid w:val="2FFF29AD"/>
    <w:rsid w:val="32452FC5"/>
    <w:rsid w:val="32891103"/>
    <w:rsid w:val="36401AD9"/>
    <w:rsid w:val="37735EDE"/>
    <w:rsid w:val="3FFA0F4B"/>
    <w:rsid w:val="41943621"/>
    <w:rsid w:val="42213106"/>
    <w:rsid w:val="43D917BF"/>
    <w:rsid w:val="45C06792"/>
    <w:rsid w:val="47FEF79B"/>
    <w:rsid w:val="48931F3C"/>
    <w:rsid w:val="51C23892"/>
    <w:rsid w:val="538E1C7E"/>
    <w:rsid w:val="54CD2C7A"/>
    <w:rsid w:val="55913CA7"/>
    <w:rsid w:val="5B44356A"/>
    <w:rsid w:val="5B716236"/>
    <w:rsid w:val="5B9E0ECC"/>
    <w:rsid w:val="5BF8682E"/>
    <w:rsid w:val="665C5C0C"/>
    <w:rsid w:val="66770C98"/>
    <w:rsid w:val="67FFEAAD"/>
    <w:rsid w:val="6B570EC0"/>
    <w:rsid w:val="6C6D3D7A"/>
    <w:rsid w:val="6C8B0FF9"/>
    <w:rsid w:val="6CA83959"/>
    <w:rsid w:val="6CD52274"/>
    <w:rsid w:val="6EBE56B6"/>
    <w:rsid w:val="6F854425"/>
    <w:rsid w:val="6F9D5710"/>
    <w:rsid w:val="72F378F8"/>
    <w:rsid w:val="734D7008"/>
    <w:rsid w:val="75D84357"/>
    <w:rsid w:val="76361FD5"/>
    <w:rsid w:val="77933457"/>
    <w:rsid w:val="77B84C6C"/>
    <w:rsid w:val="7DF14DEA"/>
    <w:rsid w:val="7EE66563"/>
    <w:rsid w:val="7EFB33FC"/>
    <w:rsid w:val="7F4FDFD2"/>
    <w:rsid w:val="7FE798CE"/>
    <w:rsid w:val="9FEDB307"/>
    <w:rsid w:val="A7F61004"/>
    <w:rsid w:val="BF5FAEDB"/>
    <w:rsid w:val="BF6CA41E"/>
    <w:rsid w:val="BFF18EAF"/>
    <w:rsid w:val="C73A1DCE"/>
    <w:rsid w:val="DBBF5B3C"/>
    <w:rsid w:val="DFFD09BA"/>
    <w:rsid w:val="E6FE548B"/>
    <w:rsid w:val="F7F6CF9E"/>
    <w:rsid w:val="FCB7311D"/>
    <w:rsid w:val="FE6BB08C"/>
    <w:rsid w:val="FFFEB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6"/>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7"/>
    <w:semiHidden/>
    <w:unhideWhenUsed/>
    <w:qFormat/>
    <w:uiPriority w:val="0"/>
    <w:pPr>
      <w:keepNext/>
      <w:keepLines/>
      <w:spacing w:before="260" w:after="260" w:line="416" w:lineRule="auto"/>
      <w:outlineLvl w:val="2"/>
    </w:pPr>
    <w:rPr>
      <w:b/>
      <w:bCs/>
      <w:sz w:val="32"/>
      <w:szCs w:val="32"/>
    </w:rPr>
  </w:style>
  <w:style w:type="paragraph" w:styleId="4">
    <w:name w:val="heading 4"/>
    <w:basedOn w:val="1"/>
    <w:link w:val="14"/>
    <w:qFormat/>
    <w:uiPriority w:val="9"/>
    <w:pPr>
      <w:widowControl/>
      <w:spacing w:before="100" w:beforeAutospacing="1" w:after="100" w:afterAutospacing="1"/>
      <w:jc w:val="left"/>
      <w:outlineLvl w:val="3"/>
    </w:pPr>
    <w:rPr>
      <w:rFonts w:ascii="宋体" w:hAnsi="宋体" w:eastAsia="宋体" w:cs="宋体"/>
      <w:b/>
      <w:bCs/>
      <w:kern w:val="0"/>
      <w:sz w:val="24"/>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uiPriority w:val="0"/>
    <w:pPr>
      <w:tabs>
        <w:tab w:val="center" w:pos="4153"/>
        <w:tab w:val="right" w:pos="8306"/>
      </w:tabs>
      <w:snapToGrid w:val="0"/>
      <w:jc w:val="left"/>
    </w:pPr>
    <w:rPr>
      <w:sz w:val="18"/>
      <w:szCs w:val="18"/>
    </w:rPr>
  </w:style>
  <w:style w:type="paragraph" w:styleId="6">
    <w:name w:val="header"/>
    <w:basedOn w:val="1"/>
    <w:link w:val="11"/>
    <w:uiPriority w:val="0"/>
    <w:pP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customStyle="1" w:styleId="11">
    <w:name w:val="页眉 字符"/>
    <w:basedOn w:val="9"/>
    <w:link w:val="6"/>
    <w:uiPriority w:val="0"/>
    <w:rPr>
      <w:rFonts w:asciiTheme="minorHAnsi" w:hAnsiTheme="minorHAnsi" w:eastAsiaTheme="minorEastAsia" w:cstheme="minorBidi"/>
      <w:kern w:val="2"/>
      <w:sz w:val="18"/>
      <w:szCs w:val="18"/>
    </w:rPr>
  </w:style>
  <w:style w:type="character" w:customStyle="1" w:styleId="12">
    <w:name w:val="页脚 字符"/>
    <w:basedOn w:val="9"/>
    <w:link w:val="5"/>
    <w:uiPriority w:val="0"/>
    <w:rPr>
      <w:rFonts w:asciiTheme="minorHAnsi" w:hAnsiTheme="minorHAnsi" w:eastAsiaTheme="minorEastAsia" w:cstheme="minorBidi"/>
      <w:kern w:val="2"/>
      <w:sz w:val="18"/>
      <w:szCs w:val="18"/>
    </w:rPr>
  </w:style>
  <w:style w:type="paragraph" w:styleId="13">
    <w:name w:val="List Paragraph"/>
    <w:basedOn w:val="1"/>
    <w:qFormat/>
    <w:uiPriority w:val="34"/>
    <w:pPr>
      <w:ind w:firstLine="420" w:firstLineChars="200"/>
    </w:pPr>
    <w:rPr>
      <w:szCs w:val="22"/>
    </w:rPr>
  </w:style>
  <w:style w:type="character" w:customStyle="1" w:styleId="14">
    <w:name w:val="标题 4 字符"/>
    <w:basedOn w:val="9"/>
    <w:link w:val="4"/>
    <w:uiPriority w:val="9"/>
    <w:rPr>
      <w:rFonts w:ascii="宋体" w:hAnsi="宋体" w:cs="宋体"/>
      <w:b/>
      <w:bCs/>
      <w:sz w:val="24"/>
      <w:szCs w:val="24"/>
    </w:rPr>
  </w:style>
  <w:style w:type="paragraph" w:customStyle="1" w:styleId="15">
    <w:name w:val="ds-markdown-paragraph"/>
    <w:basedOn w:val="1"/>
    <w:uiPriority w:val="0"/>
    <w:pPr>
      <w:widowControl/>
      <w:spacing w:before="100" w:beforeAutospacing="1" w:after="100" w:afterAutospacing="1"/>
      <w:jc w:val="left"/>
    </w:pPr>
    <w:rPr>
      <w:rFonts w:ascii="宋体" w:hAnsi="宋体" w:eastAsia="宋体" w:cs="宋体"/>
      <w:kern w:val="0"/>
      <w:sz w:val="24"/>
    </w:rPr>
  </w:style>
  <w:style w:type="character" w:customStyle="1" w:styleId="16">
    <w:name w:val="标题 2 字符"/>
    <w:basedOn w:val="9"/>
    <w:link w:val="2"/>
    <w:semiHidden/>
    <w:uiPriority w:val="0"/>
    <w:rPr>
      <w:rFonts w:asciiTheme="majorHAnsi" w:hAnsiTheme="majorHAnsi" w:eastAsiaTheme="majorEastAsia" w:cstheme="majorBidi"/>
      <w:b/>
      <w:bCs/>
      <w:kern w:val="2"/>
      <w:sz w:val="32"/>
      <w:szCs w:val="32"/>
    </w:rPr>
  </w:style>
  <w:style w:type="character" w:customStyle="1" w:styleId="17">
    <w:name w:val="标题 3 字符"/>
    <w:basedOn w:val="9"/>
    <w:link w:val="3"/>
    <w:semiHidden/>
    <w:uiPriority w:val="0"/>
    <w:rPr>
      <w:rFonts w:asciiTheme="minorHAnsi" w:hAnsiTheme="minorHAnsi" w:eastAsiaTheme="minorEastAsia" w:cstheme="minorBidi"/>
      <w:b/>
      <w:bCs/>
      <w:kern w:val="2"/>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631</Words>
  <Characters>3969</Characters>
  <Lines>116</Lines>
  <Paragraphs>124</Paragraphs>
  <TotalTime>6</TotalTime>
  <ScaleCrop>false</ScaleCrop>
  <LinksUpToDate>false</LinksUpToDate>
  <CharactersWithSpaces>4476</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2025-07-31T00:14:00Z</dcterms:created>
  <dc:creator>Data</dc:creator>
  <cp:lastModifiedBy>任俊宇</cp:lastModifiedBy>
  <dcterms:modified xsi:type="dcterms:W3CDTF">2025-12-14T09:38:29Z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7CD85D9BC3C439ECFE828868C9F27BF0_41</vt:lpwstr>
  </property>
  <property fmtid="{D5CDD505-2E9C-101B-9397-08002B2CF9AE}" pid="4" name="KSOTemplateDocerSaveRecord">
    <vt:lpwstr>eyJoZGlkIjoiYTc2ZGZiNzZiNDVlOGViOWVmM2JhOTY0NGJkNjUyYzgiLCJ1c2VySWQiOiIxNzUyNDQyMTM5In0=</vt:lpwstr>
  </property>
</Properties>
</file>