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05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2"/>
        <w:gridCol w:w="4603"/>
      </w:tblGrid>
      <w:tr w:rsidR="0053748D" w14:paraId="589401C6" w14:textId="77777777" w:rsidTr="006909B5">
        <w:trPr>
          <w:trHeight w:val="743"/>
        </w:trPr>
        <w:tc>
          <w:tcPr>
            <w:tcW w:w="9205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6909B5">
        <w:trPr>
          <w:trHeight w:val="347"/>
        </w:trPr>
        <w:tc>
          <w:tcPr>
            <w:tcW w:w="9205" w:type="dxa"/>
            <w:gridSpan w:val="2"/>
          </w:tcPr>
          <w:p w14:paraId="4114DE80" w14:textId="7A7C3AA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436C5">
              <w:rPr>
                <w:b/>
              </w:rPr>
              <w:t>: Wenxue Li</w:t>
            </w:r>
          </w:p>
        </w:tc>
      </w:tr>
      <w:tr w:rsidR="0053748D" w14:paraId="5520B5E4" w14:textId="77777777" w:rsidTr="006909B5">
        <w:trPr>
          <w:trHeight w:val="332"/>
        </w:trPr>
        <w:tc>
          <w:tcPr>
            <w:tcW w:w="9205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6909B5">
        <w:trPr>
          <w:trHeight w:val="1783"/>
        </w:trPr>
        <w:tc>
          <w:tcPr>
            <w:tcW w:w="4602" w:type="dxa"/>
            <w:tcBorders>
              <w:top w:val="nil"/>
            </w:tcBorders>
          </w:tcPr>
          <w:p w14:paraId="2A954D87" w14:textId="0F1929DE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67ECC9" w14:textId="698F23D0" w:rsidR="00A436C5" w:rsidRDefault="00A436C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436C5">
              <w:rPr>
                <w:b/>
                <w:sz w:val="18"/>
                <w:szCs w:val="18"/>
              </w:rPr>
              <w:t>1:23 “uh huh”</w:t>
            </w:r>
          </w:p>
          <w:p w14:paraId="335DDE6C" w14:textId="21E34432" w:rsidR="00140741" w:rsidRDefault="0014074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4:09 “yeah I think so”</w:t>
            </w:r>
          </w:p>
          <w:p w14:paraId="26BBEA96" w14:textId="6E262673" w:rsidR="003028DC" w:rsidRDefault="003028D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8:24 “yeah yeah”</w:t>
            </w:r>
          </w:p>
          <w:p w14:paraId="489DF72C" w14:textId="22A734C7" w:rsidR="003028DC" w:rsidRDefault="003028D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9:00 “yeah co-operate”</w:t>
            </w:r>
          </w:p>
          <w:p w14:paraId="03A07144" w14:textId="48907FE7" w:rsidR="003028DC" w:rsidRDefault="003028D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9:18 “yeah, something like that”</w:t>
            </w:r>
          </w:p>
          <w:p w14:paraId="6A87AB3D" w14:textId="1D6223F7" w:rsidR="00690A50" w:rsidRDefault="00690A5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10:07 “yeah yeah yeah”</w:t>
            </w:r>
          </w:p>
          <w:p w14:paraId="590A6FEE" w14:textId="710A9199" w:rsidR="00690A50" w:rsidRPr="00A436C5" w:rsidRDefault="00690A5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10:21 “yeah”</w:t>
            </w:r>
          </w:p>
          <w:p w14:paraId="62EEC07F" w14:textId="49F3D73E" w:rsidR="00A436C5" w:rsidRDefault="00A436C5" w:rsidP="00DE7D47">
            <w:pPr>
              <w:pStyle w:val="TableParagraph"/>
              <w:rPr>
                <w:b/>
              </w:rPr>
            </w:pPr>
          </w:p>
        </w:tc>
        <w:tc>
          <w:tcPr>
            <w:tcW w:w="4602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6909B5">
        <w:trPr>
          <w:trHeight w:val="348"/>
        </w:trPr>
        <w:tc>
          <w:tcPr>
            <w:tcW w:w="9205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6909B5">
        <w:trPr>
          <w:trHeight w:val="2133"/>
        </w:trPr>
        <w:tc>
          <w:tcPr>
            <w:tcW w:w="4602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02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6909B5">
        <w:trPr>
          <w:trHeight w:val="576"/>
        </w:trPr>
        <w:tc>
          <w:tcPr>
            <w:tcW w:w="9205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6909B5">
        <w:trPr>
          <w:trHeight w:val="1783"/>
        </w:trPr>
        <w:tc>
          <w:tcPr>
            <w:tcW w:w="4602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02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6909B5">
        <w:trPr>
          <w:trHeight w:val="593"/>
        </w:trPr>
        <w:tc>
          <w:tcPr>
            <w:tcW w:w="9205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6909B5">
        <w:trPr>
          <w:trHeight w:val="1798"/>
        </w:trPr>
        <w:tc>
          <w:tcPr>
            <w:tcW w:w="4602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02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6909B5">
        <w:trPr>
          <w:trHeight w:val="1338"/>
        </w:trPr>
        <w:tc>
          <w:tcPr>
            <w:tcW w:w="9205" w:type="dxa"/>
            <w:gridSpan w:val="2"/>
          </w:tcPr>
          <w:p w14:paraId="65A3D51A" w14:textId="0E2E46D8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909B5">
              <w:rPr>
                <w:b/>
              </w:rPr>
              <w:t xml:space="preserve"> [4] Provides frequent listener responses when her partner is talking. Appears engaged in what her partner is saying but follow-up turns tend to be unrelated to the content of partner’s prior contributions.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01C9A9EA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436C5">
              <w:rPr>
                <w:b/>
              </w:rPr>
              <w:t>: Wenxue Li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8986A63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69C91B29" w:rsidR="00E30BE2" w:rsidRPr="003028DC" w:rsidRDefault="00E30BE2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3028DC">
              <w:rPr>
                <w:b/>
                <w:sz w:val="18"/>
                <w:szCs w:val="18"/>
              </w:rPr>
              <w:t>Mini-presentation at end of part 2 is fluent. Coherence is also good although vocab/grammar issues impact on this somewhat.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54EB9833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909B5">
              <w:rPr>
                <w:b/>
              </w:rPr>
              <w:t xml:space="preserve"> </w:t>
            </w:r>
            <w:r w:rsidR="00B72EBA">
              <w:rPr>
                <w:b/>
              </w:rPr>
              <w:t>[3</w:t>
            </w:r>
            <w:r w:rsidR="006909B5">
              <w:rPr>
                <w:b/>
              </w:rPr>
              <w:t xml:space="preserve">] Speech is fluent throughout and produces long utterances very consistently. </w:t>
            </w:r>
            <w:r w:rsidR="00C6711D">
              <w:rPr>
                <w:b/>
              </w:rPr>
              <w:t>Turns are quite well-organised but grammar/vocab issues affect coherence</w:t>
            </w:r>
            <w:r w:rsidR="00B72EBA">
              <w:rPr>
                <w:b/>
              </w:rPr>
              <w:t xml:space="preserve"> quite seriously</w:t>
            </w:r>
            <w:r w:rsidR="00C6711D">
              <w:rPr>
                <w:b/>
              </w:rPr>
              <w:t>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904251A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436C5">
              <w:rPr>
                <w:b/>
              </w:rPr>
              <w:t>: Wenxue Li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2A233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9813908" w14:textId="77777777" w:rsidR="00A436C5" w:rsidRDefault="00A436C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436C5">
              <w:rPr>
                <w:b/>
                <w:sz w:val="18"/>
                <w:szCs w:val="18"/>
              </w:rPr>
              <w:t>0:42 “three months ago I come to Australia”</w:t>
            </w:r>
          </w:p>
          <w:p w14:paraId="2C8823C8" w14:textId="30A29DDE" w:rsidR="00140741" w:rsidRPr="00A436C5" w:rsidRDefault="0014074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3:30 “do you can to handle different things…”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E6D995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C94D015" w14:textId="77777777" w:rsidR="00A436C5" w:rsidRDefault="00A436C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436C5">
              <w:rPr>
                <w:b/>
                <w:sz w:val="18"/>
                <w:szCs w:val="18"/>
              </w:rPr>
              <w:t>0:48 “spend a very wonderful life in here”</w:t>
            </w:r>
          </w:p>
          <w:p w14:paraId="4E3682F7" w14:textId="77777777" w:rsidR="00140741" w:rsidRDefault="0014074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3:28 “acknowledge”</w:t>
            </w:r>
          </w:p>
          <w:p w14:paraId="677BAB2C" w14:textId="77777777" w:rsidR="00E30BE2" w:rsidRDefault="00E30BE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5:25 “put important places”</w:t>
            </w:r>
          </w:p>
          <w:p w14:paraId="56104294" w14:textId="77777777" w:rsidR="00E30BE2" w:rsidRDefault="00E30BE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5:57 “made achievements”</w:t>
            </w:r>
          </w:p>
          <w:p w14:paraId="1C17AAFB" w14:textId="105F2AF7" w:rsidR="003028DC" w:rsidRPr="00A436C5" w:rsidRDefault="003028DC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9:40 I didn’t understand her point about “donating money” here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42A6C0C6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C6711D">
              <w:rPr>
                <w:b/>
              </w:rPr>
              <w:t xml:space="preserve"> [3] Frequent mistakes in both grammar and vocab do affect her ability to convey meaning at times. 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58DBC1B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436C5">
              <w:rPr>
                <w:b/>
              </w:rPr>
              <w:t>: Wenxue Li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B3EBA7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311E815A" w:rsidR="00690A50" w:rsidRPr="00690A50" w:rsidRDefault="00690A5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90A50">
              <w:rPr>
                <w:b/>
                <w:sz w:val="18"/>
                <w:szCs w:val="18"/>
              </w:rPr>
              <w:t>Introduces a lot of new ideas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EB155E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16B0F4E7" w:rsidR="00690A50" w:rsidRPr="00690A50" w:rsidRDefault="00690A5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90A50">
              <w:rPr>
                <w:b/>
                <w:sz w:val="18"/>
                <w:szCs w:val="18"/>
              </w:rPr>
              <w:t>11:03 does develop her partner’s point about selection but the transition is a bit abrupt</w:t>
            </w:r>
          </w:p>
        </w:tc>
        <w:tc>
          <w:tcPr>
            <w:tcW w:w="4640" w:type="dxa"/>
            <w:tcBorders>
              <w:top w:val="nil"/>
            </w:tcBorders>
          </w:tcPr>
          <w:p w14:paraId="31C91FA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4659B3" w14:textId="4C7D68B3" w:rsidR="006909B5" w:rsidRPr="006909B5" w:rsidRDefault="006909B5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6909B5">
              <w:rPr>
                <w:b/>
                <w:sz w:val="18"/>
                <w:szCs w:val="18"/>
              </w:rPr>
              <w:t>Sequence around 11:30-11:50 is interesting. Seems interactive on the surface but was she actually listening to her partner or just saying her own thing?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937DBF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AC756DF" w14:textId="77777777" w:rsidR="00A436C5" w:rsidRDefault="00A436C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436C5">
              <w:rPr>
                <w:b/>
                <w:sz w:val="18"/>
                <w:szCs w:val="18"/>
              </w:rPr>
              <w:t>1:18 “okay and why you choose this subject?”</w:t>
            </w:r>
            <w:r>
              <w:rPr>
                <w:b/>
                <w:sz w:val="18"/>
                <w:szCs w:val="18"/>
              </w:rPr>
              <w:t xml:space="preserve"> (bad grammar though)</w:t>
            </w:r>
          </w:p>
          <w:p w14:paraId="25ACEF30" w14:textId="336B0FCB" w:rsidR="00690A50" w:rsidRPr="00A436C5" w:rsidRDefault="00690A5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10:48 I think this is supposed to be “do you have anything to add?” although she seems to say “admit it”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101F7AFF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C6711D">
              <w:rPr>
                <w:b/>
              </w:rPr>
              <w:t xml:space="preserve"> [3] </w:t>
            </w:r>
            <w:r w:rsidR="00C6711D" w:rsidRPr="00C6711D">
              <w:rPr>
                <w:b/>
                <w:sz w:val="18"/>
                <w:szCs w:val="18"/>
              </w:rPr>
              <w:t>Produces a lot of new ide</w:t>
            </w:r>
            <w:r w:rsidR="00B72EBA">
              <w:rPr>
                <w:b/>
                <w:sz w:val="18"/>
                <w:szCs w:val="18"/>
              </w:rPr>
              <w:t>a</w:t>
            </w:r>
            <w:r w:rsidR="00C6711D" w:rsidRPr="00C6711D">
              <w:rPr>
                <w:b/>
                <w:sz w:val="18"/>
                <w:szCs w:val="18"/>
              </w:rPr>
              <w:t>s and drives the discussion. However, she rarely engages with her partner’s ideas beyond minimal acknowledgments. Rather, she often waits for her partner to finish, produces something like a “yeah” token, but then goes on to a new</w:t>
            </w:r>
            <w:r w:rsidR="00B72EBA">
              <w:rPr>
                <w:b/>
                <w:sz w:val="18"/>
                <w:szCs w:val="18"/>
              </w:rPr>
              <w:t xml:space="preserve"> and unrelated</w:t>
            </w:r>
            <w:r w:rsidR="00C6711D" w:rsidRPr="00C6711D">
              <w:rPr>
                <w:b/>
                <w:sz w:val="18"/>
                <w:szCs w:val="18"/>
              </w:rPr>
              <w:t xml:space="preserve"> idea/topic/point.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72BE4C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436C5">
              <w:rPr>
                <w:b/>
              </w:rPr>
              <w:t>: Wenxue Li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F2D0BE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293BD00" w14:textId="77777777" w:rsidR="00A436C5" w:rsidRDefault="00A436C5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436C5">
              <w:rPr>
                <w:b/>
                <w:sz w:val="18"/>
                <w:szCs w:val="18"/>
              </w:rPr>
              <w:t>1:18 “subject”</w:t>
            </w:r>
          </w:p>
          <w:p w14:paraId="344C3983" w14:textId="77777777" w:rsidR="00140741" w:rsidRDefault="0014074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1:45 “agent”?</w:t>
            </w:r>
          </w:p>
          <w:p w14:paraId="5D43CE5A" w14:textId="578BD9EF" w:rsidR="00140741" w:rsidRPr="00A436C5" w:rsidRDefault="0014074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5:17 “think”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CCFCB67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C6711D">
              <w:rPr>
                <w:b/>
              </w:rPr>
              <w:t xml:space="preserve"> [4] Clear throughout although rapid speech rate can make it a bit hard to understand at times. Some ability to control prosodic features over longer stretches of speech although this is inconsistent.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40741"/>
    <w:rsid w:val="001D0F8F"/>
    <w:rsid w:val="003028DC"/>
    <w:rsid w:val="003C6F25"/>
    <w:rsid w:val="0053748D"/>
    <w:rsid w:val="006909B5"/>
    <w:rsid w:val="00690A50"/>
    <w:rsid w:val="007929C7"/>
    <w:rsid w:val="007C637C"/>
    <w:rsid w:val="008C19A7"/>
    <w:rsid w:val="00A436C5"/>
    <w:rsid w:val="00B72EBA"/>
    <w:rsid w:val="00C6711D"/>
    <w:rsid w:val="00E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2022-05-09T05:33:00Z</dcterms:created>
  <dcterms:modified xsi:type="dcterms:W3CDTF">2022-05-16T02:28:00Z</dcterms:modified>
</cp:coreProperties>
</file>