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DF482C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222665DA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E955EC">
              <w:rPr>
                <w:b/>
                <w:color w:val="FF0000"/>
              </w:rPr>
              <w:t>Chenyan</w:t>
            </w:r>
            <w:proofErr w:type="spellEnd"/>
            <w:proofErr w:type="gramEnd"/>
            <w:r w:rsidR="00E955EC">
              <w:rPr>
                <w:b/>
                <w:color w:val="FF0000"/>
              </w:rPr>
              <w:t xml:space="preserve"> Zhang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5E22EA43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C82032C" w14:textId="476AF115" w:rsidR="00A05479" w:rsidRPr="00364BC9" w:rsidRDefault="00A05479" w:rsidP="00364BC9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364BC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64BC9">
              <w:rPr>
                <w:rFonts w:eastAsiaTheme="minorEastAsia"/>
                <w:bCs/>
                <w:i/>
                <w:iCs/>
                <w:lang w:eastAsia="zh-CN"/>
              </w:rPr>
              <w:t xml:space="preserve"> am really interested in research </w:t>
            </w:r>
          </w:p>
          <w:p w14:paraId="5EE52A35" w14:textId="7E6B0409" w:rsidR="00213877" w:rsidRPr="00364BC9" w:rsidRDefault="00213877" w:rsidP="00364BC9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364BC9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364BC9">
              <w:rPr>
                <w:rFonts w:eastAsiaTheme="minorEastAsia"/>
                <w:bCs/>
                <w:i/>
                <w:iCs/>
                <w:lang w:eastAsia="zh-CN"/>
              </w:rPr>
              <w:t>t gave me such feeling of achievement</w:t>
            </w:r>
          </w:p>
          <w:p w14:paraId="7B0CA171" w14:textId="58C370F8" w:rsidR="00E213EB" w:rsidRPr="0042075B" w:rsidRDefault="00E213E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659DA6E3" w:rsidR="005948DB" w:rsidRPr="00875DBD" w:rsidRDefault="00C95C23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95C23">
              <w:rPr>
                <w:rFonts w:eastAsiaTheme="minorEastAsia"/>
                <w:bCs/>
                <w:i/>
                <w:iCs/>
                <w:lang w:eastAsia="zh-CN"/>
              </w:rPr>
              <w:t xml:space="preserve">During the master, I </w:t>
            </w:r>
            <w:r w:rsidRPr="00C95C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working with</w:t>
            </w:r>
            <w:r w:rsidRPr="00C95C23">
              <w:rPr>
                <w:rFonts w:eastAsiaTheme="minorEastAsia"/>
                <w:bCs/>
                <w:i/>
                <w:iCs/>
                <w:lang w:eastAsia="zh-CN"/>
              </w:rPr>
              <w:t xml:space="preserve"> other tutors to try to publish and submit several books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C95C23">
              <w:rPr>
                <w:rFonts w:eastAsiaTheme="minorEastAsia"/>
                <w:bCs/>
                <w:i/>
                <w:iCs/>
                <w:lang w:eastAsia="zh-CN"/>
              </w:rPr>
              <w:t xml:space="preserve">During the master, I </w:t>
            </w:r>
            <w:r w:rsidRPr="00C95C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work</w:t>
            </w:r>
            <w:r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ed </w:t>
            </w:r>
            <w:r w:rsidRPr="00C95C2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with</w:t>
            </w:r>
            <w:r w:rsidRPr="00C95C23">
              <w:rPr>
                <w:rFonts w:eastAsiaTheme="minorEastAsia"/>
                <w:bCs/>
                <w:i/>
                <w:iCs/>
                <w:lang w:eastAsia="zh-CN"/>
              </w:rPr>
              <w:t xml:space="preserve"> other tutors to try to publish and submit several books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73514BCF" w:rsidR="00A94493" w:rsidRPr="00BC5D4A" w:rsidRDefault="00D362F9" w:rsidP="00BC5D4A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Maybe I will change the career because of the relationship and the locations, so that’s a reason I might go back to China and to find a job suitable for me.</w:t>
            </w:r>
          </w:p>
        </w:tc>
        <w:tc>
          <w:tcPr>
            <w:tcW w:w="4640" w:type="dxa"/>
            <w:tcBorders>
              <w:top w:val="nil"/>
            </w:tcBorders>
          </w:tcPr>
          <w:p w14:paraId="705033F8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FE6AA67" w14:textId="3A16EFF8" w:rsidR="00213877" w:rsidRPr="00213877" w:rsidRDefault="00213877" w:rsidP="00E1629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When I 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applying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the PhD, I 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am trying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to find the field in language testing and foreign language education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When I 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was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applying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the PhD, I 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was</w:t>
            </w:r>
            <w:r w:rsidRPr="0021387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trying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to find the field in language testing and foreign language education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 w:rsidRPr="00213877">
              <w:rPr>
                <w:rFonts w:eastAsiaTheme="minorEastAsia"/>
                <w:bCs/>
                <w:i/>
                <w:iCs/>
                <w:lang w:eastAsia="zh-CN"/>
              </w:rPr>
              <w:t xml:space="preserve">  </w:t>
            </w:r>
          </w:p>
          <w:p w14:paraId="46C13FD0" w14:textId="51EF9C68" w:rsidR="00213877" w:rsidRDefault="00213877">
            <w:pPr>
              <w:pStyle w:val="TableParagraph"/>
              <w:ind w:left="117"/>
              <w:rPr>
                <w:b/>
              </w:rPr>
            </w:pP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617B9887" w:rsidR="00553283" w:rsidRPr="00297333" w:rsidRDefault="00553283" w:rsidP="00B015DB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7D87361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57BC205C" w:rsidR="00B015DB" w:rsidRDefault="00B015DB">
            <w:pPr>
              <w:pStyle w:val="TableParagraph"/>
              <w:ind w:left="117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Does not d</w:t>
            </w:r>
            <w:r>
              <w:rPr>
                <w:rFonts w:eastAsiaTheme="minorEastAsia" w:hint="eastAsia"/>
                <w:bCs/>
                <w:lang w:eastAsia="zh-CN"/>
              </w:rPr>
              <w:t>emonstrate</w:t>
            </w:r>
            <w:r>
              <w:rPr>
                <w:rFonts w:eastAsiaTheme="minorEastAsia"/>
                <w:bCs/>
                <w:lang w:eastAsia="zh-CN"/>
              </w:rPr>
              <w:t xml:space="preserve"> a range of </w:t>
            </w:r>
            <w:r>
              <w:rPr>
                <w:rFonts w:eastAsiaTheme="minorEastAsia" w:hint="eastAsia"/>
                <w:bCs/>
                <w:lang w:eastAsia="zh-CN"/>
              </w:rPr>
              <w:t>appropriate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lang w:eastAsia="zh-CN"/>
              </w:rPr>
              <w:t>vocabulary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416D0EE7" w:rsidR="00F25D20" w:rsidRPr="009D5E90" w:rsidRDefault="00BC5D4A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proofErr w:type="gramStart"/>
            <w:r>
              <w:rPr>
                <w:rFonts w:eastAsiaTheme="minorEastAsia"/>
                <w:bCs/>
                <w:lang w:eastAsia="zh-CN"/>
              </w:rPr>
              <w:t>Basically</w:t>
            </w:r>
            <w:proofErr w:type="gramEnd"/>
            <w:r>
              <w:rPr>
                <w:rFonts w:eastAsiaTheme="minorEastAsia"/>
                <w:bCs/>
                <w:lang w:eastAsia="zh-CN"/>
              </w:rPr>
              <w:t xml:space="preserve"> good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. </w:t>
            </w:r>
            <w:r>
              <w:rPr>
                <w:rFonts w:eastAsiaTheme="minorEastAsia"/>
                <w:bCs/>
                <w:lang w:eastAsia="zh-CN"/>
              </w:rPr>
              <w:t>Some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do exist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B015DB">
              <w:rPr>
                <w:rFonts w:eastAsiaTheme="minorEastAsia"/>
                <w:bCs/>
                <w:lang w:eastAsia="zh-CN"/>
              </w:rPr>
              <w:t>Does not d</w:t>
            </w:r>
            <w:r w:rsidR="00680E06">
              <w:rPr>
                <w:rFonts w:eastAsiaTheme="minorEastAsia" w:hint="eastAsia"/>
                <w:bCs/>
                <w:lang w:eastAsia="zh-CN"/>
              </w:rPr>
              <w:t>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B015DB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48EC08E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E955EC">
              <w:rPr>
                <w:rFonts w:hint="eastAsia"/>
                <w:b/>
                <w:color w:val="FF0000"/>
              </w:rPr>
              <w:t>Chenyan</w:t>
            </w:r>
            <w:proofErr w:type="spellEnd"/>
            <w:proofErr w:type="gramEnd"/>
            <w:r w:rsidR="00E955EC">
              <w:rPr>
                <w:rFonts w:hint="eastAsia"/>
                <w:b/>
                <w:color w:val="FF0000"/>
              </w:rPr>
              <w:t xml:space="preserve"> Zhang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2BFD1ED" w:rsidR="005D2E3D" w:rsidRPr="005D2E3D" w:rsidRDefault="00BF44A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S</w:t>
            </w:r>
            <w:r>
              <w:rPr>
                <w:rFonts w:eastAsiaTheme="minorEastAsia"/>
                <w:bCs/>
                <w:lang w:eastAsia="zh-CN"/>
              </w:rPr>
              <w:t>peaks the full minute together with partner.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6DE3B932" w:rsidR="005D2E3D" w:rsidRPr="00577586" w:rsidRDefault="000A1229" w:rsidP="000A1229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too little</w:t>
            </w:r>
            <w:r w:rsidR="00BF44A1">
              <w:rPr>
                <w:rFonts w:eastAsiaTheme="minorEastAsia"/>
                <w:bCs/>
                <w:lang w:eastAsia="zh-CN"/>
              </w:rPr>
              <w:t xml:space="preserve"> in Part 3</w:t>
            </w: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67F3885F" w:rsidR="0050318B" w:rsidRPr="00064735" w:rsidRDefault="00BF44A1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her opinion regarding Task 2 from the perspective of relationship and family</w:t>
            </w:r>
          </w:p>
        </w:tc>
        <w:tc>
          <w:tcPr>
            <w:tcW w:w="4640" w:type="dxa"/>
            <w:tcBorders>
              <w:top w:val="nil"/>
            </w:tcBorders>
          </w:tcPr>
          <w:p w14:paraId="5F4561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04C39C07" w:rsidR="00BF44A1" w:rsidRDefault="00BF44A1">
            <w:pPr>
              <w:pStyle w:val="TableParagraph"/>
              <w:ind w:left="133"/>
              <w:rPr>
                <w:b/>
              </w:rPr>
            </w:pP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AB8A663" w14:textId="592423C1" w:rsidR="00E40208" w:rsidRPr="00187C5B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 w:rsidR="001E59A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E59A4">
              <w:rPr>
                <w:rFonts w:eastAsiaTheme="minorEastAsia"/>
                <w:bCs/>
                <w:i/>
                <w:iCs/>
                <w:lang w:eastAsia="zh-CN"/>
              </w:rPr>
              <w:t>Maybe I will change the career because of the relationship and the locations,</w:t>
            </w:r>
            <w:r w:rsidR="001E59A4" w:rsidRPr="001E59A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so that</w:t>
            </w:r>
            <w:r w:rsidR="001E59A4">
              <w:rPr>
                <w:rFonts w:eastAsiaTheme="minorEastAsia"/>
                <w:bCs/>
                <w:i/>
                <w:iCs/>
                <w:lang w:eastAsia="zh-CN"/>
              </w:rPr>
              <w:t>’s a reason I might go back to China and to find a job suitable for me.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75E1A5D2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CF1C17">
              <w:rPr>
                <w:bCs/>
              </w:rPr>
              <w:t xml:space="preserve"> together with partner</w:t>
            </w:r>
            <w:r w:rsidRPr="004556A1">
              <w:rPr>
                <w:bCs/>
              </w:rPr>
              <w:t>,</w:t>
            </w:r>
            <w:r>
              <w:rPr>
                <w:bCs/>
              </w:rPr>
              <w:t xml:space="preserve"> fluent and smooth</w:t>
            </w:r>
            <w:r w:rsidR="0073040B">
              <w:rPr>
                <w:bCs/>
              </w:rPr>
              <w:t xml:space="preserve">. </w:t>
            </w:r>
            <w:r w:rsidRPr="004556A1">
              <w:rPr>
                <w:bCs/>
              </w:rPr>
              <w:t xml:space="preserve">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her personal points of view</w:t>
            </w:r>
            <w:r w:rsidR="00FF51B1">
              <w:rPr>
                <w:bCs/>
              </w:rPr>
              <w:t xml:space="preserve"> in both Part 2 and Part 3.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68C3CD3C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E955EC">
              <w:rPr>
                <w:b/>
                <w:color w:val="FF0000"/>
              </w:rPr>
              <w:t>Chenyan</w:t>
            </w:r>
            <w:proofErr w:type="spellEnd"/>
            <w:r w:rsidR="00E955EC">
              <w:rPr>
                <w:b/>
                <w:color w:val="FF0000"/>
              </w:rPr>
              <w:t xml:space="preserve"> Zhang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1972D901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2827BD0B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662F48">
              <w:rPr>
                <w:bCs/>
              </w:rPr>
              <w:t>quite</w:t>
            </w:r>
            <w:r>
              <w:rPr>
                <w:bCs/>
              </w:rPr>
              <w:t xml:space="preserve">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1C471FEB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662F48">
              <w:rPr>
                <w:bCs/>
              </w:rPr>
              <w:t>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51AEC2A6" w:rsidR="00CD00A3" w:rsidRPr="00CD00A3" w:rsidRDefault="00662F48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Basically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5072111A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749A3D4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E955EC">
              <w:rPr>
                <w:b/>
                <w:color w:val="FF0000"/>
              </w:rPr>
              <w:t>Chenyan</w:t>
            </w:r>
            <w:proofErr w:type="spellEnd"/>
            <w:r w:rsidR="00E955EC">
              <w:rPr>
                <w:b/>
                <w:color w:val="FF0000"/>
              </w:rPr>
              <w:t xml:space="preserve"> Zhang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705D60BE" w:rsidR="009907CC" w:rsidRPr="00D427CE" w:rsidRDefault="00D21C76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Family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3AB4175D" w14:textId="78F6BAE7" w:rsidR="00F80E9B" w:rsidRDefault="00761EBE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Or communication skills</w:t>
            </w:r>
          </w:p>
          <w:p w14:paraId="42F2CDA8" w14:textId="76CA33B5" w:rsidR="009907CC" w:rsidRPr="00B179E9" w:rsidRDefault="00761EBE" w:rsidP="00B179E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eah, the balance </w:t>
            </w:r>
          </w:p>
        </w:tc>
        <w:tc>
          <w:tcPr>
            <w:tcW w:w="4640" w:type="dxa"/>
            <w:tcBorders>
              <w:top w:val="nil"/>
            </w:tcBorders>
          </w:tcPr>
          <w:p w14:paraId="07E46A0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7C87C58" w14:textId="7E7665B3" w:rsidR="00B179E9" w:rsidRPr="00B179E9" w:rsidRDefault="00B179E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B179E9">
              <w:rPr>
                <w:rFonts w:eastAsiaTheme="minorEastAsia"/>
                <w:bCs/>
                <w:lang w:eastAsia="zh-CN"/>
              </w:rPr>
              <w:t>Introduces few of her ideas.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D074F7A" w14:textId="77777777" w:rsidR="00251C09" w:rsidRPr="00761EBE" w:rsidRDefault="00251C09" w:rsidP="00251C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80E9B">
              <w:rPr>
                <w:rFonts w:eastAsiaTheme="minorEastAsia"/>
                <w:bCs/>
                <w:i/>
                <w:iCs/>
                <w:lang w:eastAsia="zh-CN"/>
              </w:rPr>
              <w:t>Yeah, work experience</w:t>
            </w:r>
          </w:p>
          <w:p w14:paraId="1C80F921" w14:textId="77777777" w:rsidR="00251C09" w:rsidRPr="00251C09" w:rsidRDefault="00251C09" w:rsidP="00251C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51C09">
              <w:rPr>
                <w:rFonts w:eastAsiaTheme="minorEastAsia"/>
                <w:bCs/>
                <w:i/>
                <w:iCs/>
                <w:lang w:eastAsia="zh-CN"/>
              </w:rPr>
              <w:t>Yeah, motivation, and work experience, and academic achievements</w:t>
            </w:r>
          </w:p>
          <w:p w14:paraId="20964C75" w14:textId="45DBDB12" w:rsidR="0006157B" w:rsidRPr="00251C09" w:rsidRDefault="00251C09" w:rsidP="00251C09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eah, the balance </w:t>
            </w:r>
          </w:p>
        </w:tc>
        <w:tc>
          <w:tcPr>
            <w:tcW w:w="4640" w:type="dxa"/>
            <w:tcBorders>
              <w:top w:val="nil"/>
            </w:tcBorders>
          </w:tcPr>
          <w:p w14:paraId="5016100B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225D7B09" w:rsidR="00251C09" w:rsidRPr="00DF2BE9" w:rsidRDefault="00DF2BE9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DF2BE9">
              <w:rPr>
                <w:rFonts w:eastAsiaTheme="minorEastAsia" w:hint="eastAsia"/>
                <w:bCs/>
                <w:lang w:eastAsia="zh-CN"/>
              </w:rPr>
              <w:t>A</w:t>
            </w:r>
            <w:r w:rsidRPr="00DF2BE9">
              <w:rPr>
                <w:rFonts w:eastAsiaTheme="minorEastAsia"/>
                <w:bCs/>
                <w:lang w:eastAsia="zh-CN"/>
              </w:rPr>
              <w:t xml:space="preserve"> bit passive</w:t>
            </w:r>
            <w:r>
              <w:rPr>
                <w:rFonts w:eastAsiaTheme="minorEastAsia"/>
                <w:bCs/>
                <w:lang w:eastAsia="zh-CN"/>
              </w:rPr>
              <w:t xml:space="preserve"> on the whole, not contributing enough to discussion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5C1B827" w14:textId="755D097A" w:rsidR="004A5609" w:rsidRPr="00D427CE" w:rsidRDefault="00557FFA" w:rsidP="00557FFA">
            <w:pPr>
              <w:pStyle w:val="TableParagraph"/>
              <w:ind w:left="0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62C55F66" w14:textId="701EA091" w:rsidR="00BE3967" w:rsidRDefault="00BE3967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6BF80C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E9B19F" w14:textId="70B32831" w:rsidR="00557FFA" w:rsidRPr="00557FFA" w:rsidRDefault="00557FFA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557FFA">
              <w:rPr>
                <w:rFonts w:eastAsiaTheme="minorEastAsia"/>
                <w:bCs/>
                <w:lang w:eastAsia="zh-CN"/>
              </w:rPr>
              <w:t>Few such attempts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3FEB5ED2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 xml:space="preserve">Introduces </w:t>
            </w:r>
            <w:r w:rsidR="00557FFA">
              <w:rPr>
                <w:bCs/>
              </w:rPr>
              <w:t>few of her</w:t>
            </w:r>
            <w:r w:rsidRPr="0002447E">
              <w:rPr>
                <w:bCs/>
              </w:rPr>
              <w:t xml:space="preserve"> ideas</w:t>
            </w:r>
            <w:r w:rsidR="00557FFA">
              <w:rPr>
                <w:bCs/>
              </w:rPr>
              <w:t>.</w:t>
            </w:r>
            <w:r w:rsidRPr="0002447E">
              <w:rPr>
                <w:bCs/>
              </w:rPr>
              <w:t xml:space="preserve"> </w:t>
            </w:r>
            <w:r w:rsidR="00557FFA">
              <w:rPr>
                <w:bCs/>
              </w:rPr>
              <w:t>R</w:t>
            </w:r>
            <w:r w:rsidRPr="0002447E">
              <w:rPr>
                <w:bCs/>
              </w:rPr>
              <w:t>eacts naturally and appropriately to what partner says</w:t>
            </w:r>
            <w:r w:rsidR="00557FFA">
              <w:rPr>
                <w:bCs/>
              </w:rPr>
              <w:t xml:space="preserve">. Not try to have a </w:t>
            </w:r>
            <w:r w:rsidRPr="0002447E">
              <w:rPr>
                <w:bCs/>
              </w:rPr>
              <w:t>discussion</w:t>
            </w:r>
            <w:r w:rsidR="00557FFA">
              <w:rPr>
                <w:bCs/>
              </w:rPr>
              <w:t xml:space="preserve"> with partner</w:t>
            </w:r>
            <w:r w:rsidRPr="0002447E">
              <w:rPr>
                <w:bCs/>
              </w:rPr>
              <w:t xml:space="preserve">. </w:t>
            </w:r>
            <w:r w:rsidR="00194A46">
              <w:rPr>
                <w:bCs/>
              </w:rPr>
              <w:t>Not very interactive, a</w:t>
            </w:r>
            <w:r w:rsidR="00557FFA">
              <w:rPr>
                <w:bCs/>
              </w:rPr>
              <w:t xml:space="preserve"> bit passive on the whole, not contribution enough of her thoughts.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26034513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E955EC">
              <w:rPr>
                <w:b/>
                <w:color w:val="FF0000"/>
              </w:rPr>
              <w:t>Chenyan</w:t>
            </w:r>
            <w:proofErr w:type="spellEnd"/>
            <w:r w:rsidR="00E955EC">
              <w:rPr>
                <w:b/>
                <w:color w:val="FF0000"/>
              </w:rPr>
              <w:t xml:space="preserve"> Zhang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502EF20D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50727FE7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DC939CA" w14:textId="58F89A96" w:rsidR="00A74456" w:rsidRPr="00A74456" w:rsidRDefault="00A74456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A74456">
              <w:rPr>
                <w:rFonts w:eastAsiaTheme="minorEastAsia" w:hint="eastAsia"/>
                <w:bCs/>
                <w:lang w:eastAsia="zh-CN"/>
              </w:rPr>
              <w:t>N</w:t>
            </w:r>
            <w:r w:rsidRPr="00A74456">
              <w:rPr>
                <w:rFonts w:eastAsiaTheme="minorEastAsia"/>
                <w:bCs/>
                <w:lang w:eastAsia="zh-CN"/>
              </w:rPr>
              <w:t>ot respond very actively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5B2655A9" w:rsidR="00467D0A" w:rsidRPr="00B52FEB" w:rsidRDefault="00C654AE" w:rsidP="00B52FEB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</w:t>
            </w:r>
            <w:r w:rsidR="0082653E">
              <w:rPr>
                <w:rFonts w:eastAsiaTheme="minorEastAsia"/>
                <w:bCs/>
                <w:lang w:eastAsia="zh-CN"/>
              </w:rPr>
              <w:t xml:space="preserve"> some</w:t>
            </w:r>
            <w:r w:rsidRPr="003D11D7">
              <w:rPr>
                <w:rFonts w:eastAsiaTheme="minorEastAsia"/>
                <w:bCs/>
                <w:lang w:eastAsia="zh-CN"/>
              </w:rPr>
              <w:t xml:space="preserve"> reactive tokens</w:t>
            </w:r>
            <w:bookmarkEnd w:id="10"/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76D2423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7C288DF7" w:rsidR="0082653E" w:rsidRPr="0082653E" w:rsidRDefault="0082653E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82653E">
              <w:rPr>
                <w:rFonts w:eastAsiaTheme="minorEastAsia" w:hint="eastAsia"/>
                <w:bCs/>
                <w:lang w:eastAsia="zh-CN"/>
              </w:rPr>
              <w:t>N</w:t>
            </w:r>
            <w:r w:rsidRPr="0082653E">
              <w:rPr>
                <w:rFonts w:eastAsiaTheme="minorEastAsia"/>
                <w:bCs/>
                <w:lang w:eastAsia="zh-CN"/>
              </w:rPr>
              <w:t>ot very often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0C8A99BB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5561981F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1E5054AE" w:rsidR="00DE48DC" w:rsidRPr="00B47019" w:rsidRDefault="00DE48DC" w:rsidP="00DE48DC">
            <w:pPr>
              <w:pStyle w:val="TableParagraph"/>
              <w:ind w:left="110" w:hangingChars="50" w:hanging="110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 xml:space="preserve">  </w:t>
            </w:r>
            <w:r w:rsidRPr="00B47019">
              <w:rPr>
                <w:rFonts w:eastAsiaTheme="minorEastAsia"/>
                <w:bCs/>
                <w:lang w:eastAsia="zh-CN"/>
              </w:rPr>
              <w:t>Not try to pick up and expand on partner’s thoughts</w:t>
            </w:r>
            <w:r w:rsidR="00B47019" w:rsidRPr="00B47019">
              <w:rPr>
                <w:rFonts w:eastAsiaTheme="minorEastAsia"/>
                <w:bCs/>
                <w:lang w:eastAsia="zh-CN"/>
              </w:rPr>
              <w:t>, only listening to partner for the most part.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4D624077" w14:textId="2ACADB0B" w:rsidR="00C30152" w:rsidRPr="00DE48DC" w:rsidRDefault="00BF1193" w:rsidP="00DE48DC">
            <w:pPr>
              <w:pStyle w:val="TableParagraph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0C41FA7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4FFBA8" w14:textId="6EFF23F4" w:rsidR="00DE48DC" w:rsidRDefault="00DE48DC" w:rsidP="0008319C">
            <w:pPr>
              <w:pStyle w:val="TableParagraph"/>
              <w:ind w:left="133"/>
              <w:rPr>
                <w:b/>
              </w:rPr>
            </w:pPr>
            <w:r w:rsidRPr="00557FFA">
              <w:rPr>
                <w:rFonts w:eastAsiaTheme="minorEastAsia"/>
                <w:bCs/>
                <w:lang w:eastAsia="zh-CN"/>
              </w:rPr>
              <w:t>Few such attempts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EE86593" w:rsidR="00513387" w:rsidRPr="00513387" w:rsidRDefault="007D124F" w:rsidP="00513387">
            <w:pPr>
              <w:pStyle w:val="TableParagraph"/>
              <w:spacing w:before="79"/>
              <w:rPr>
                <w:bCs/>
              </w:rPr>
            </w:pPr>
            <w:r>
              <w:rPr>
                <w:bCs/>
              </w:rPr>
              <w:t xml:space="preserve">A bit passive on the whole, not </w:t>
            </w:r>
            <w:r w:rsidR="005F4BEE">
              <w:rPr>
                <w:bCs/>
              </w:rPr>
              <w:t>trying to take the initiative to express and expand on her ideas</w:t>
            </w:r>
            <w:r>
              <w:rPr>
                <w:bCs/>
              </w:rPr>
              <w:t xml:space="preserve">, only listening to partner for the most part. 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2CF8" w14:textId="77777777" w:rsidR="00DF482C" w:rsidRDefault="00DF482C">
      <w:r>
        <w:separator/>
      </w:r>
    </w:p>
  </w:endnote>
  <w:endnote w:type="continuationSeparator" w:id="0">
    <w:p w14:paraId="2E8A1F29" w14:textId="77777777" w:rsidR="00DF482C" w:rsidRDefault="00DF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E44F" w14:textId="77777777" w:rsidR="00DF482C" w:rsidRDefault="00DF482C">
      <w:r>
        <w:separator/>
      </w:r>
    </w:p>
  </w:footnote>
  <w:footnote w:type="continuationSeparator" w:id="0">
    <w:p w14:paraId="4CBA8590" w14:textId="77777777" w:rsidR="00DF482C" w:rsidRDefault="00DF4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711498E"/>
    <w:multiLevelType w:val="hybridMultilevel"/>
    <w:tmpl w:val="76203160"/>
    <w:lvl w:ilvl="0" w:tplc="D9E4A056">
      <w:start w:val="10"/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1"/>
  </w:num>
  <w:num w:numId="20" w16cid:durableId="556474435">
    <w:abstractNumId w:val="16"/>
  </w:num>
  <w:num w:numId="21" w16cid:durableId="1969966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16C18"/>
    <w:rsid w:val="000224C1"/>
    <w:rsid w:val="0002447E"/>
    <w:rsid w:val="00050BFC"/>
    <w:rsid w:val="0006157B"/>
    <w:rsid w:val="00064735"/>
    <w:rsid w:val="000863BC"/>
    <w:rsid w:val="000A1229"/>
    <w:rsid w:val="000A1DFD"/>
    <w:rsid w:val="000D3AEC"/>
    <w:rsid w:val="000D5A62"/>
    <w:rsid w:val="000E1DE2"/>
    <w:rsid w:val="00141780"/>
    <w:rsid w:val="00154149"/>
    <w:rsid w:val="00176767"/>
    <w:rsid w:val="00183E94"/>
    <w:rsid w:val="00187C5B"/>
    <w:rsid w:val="00194A46"/>
    <w:rsid w:val="001961B5"/>
    <w:rsid w:val="001E2AB6"/>
    <w:rsid w:val="001E59A4"/>
    <w:rsid w:val="00213877"/>
    <w:rsid w:val="00251C09"/>
    <w:rsid w:val="00256FA5"/>
    <w:rsid w:val="00281821"/>
    <w:rsid w:val="00297333"/>
    <w:rsid w:val="002B59FF"/>
    <w:rsid w:val="002C75AD"/>
    <w:rsid w:val="002E107E"/>
    <w:rsid w:val="002E28C8"/>
    <w:rsid w:val="002F2674"/>
    <w:rsid w:val="0030101B"/>
    <w:rsid w:val="00310B00"/>
    <w:rsid w:val="00324EE8"/>
    <w:rsid w:val="00336888"/>
    <w:rsid w:val="00364BC9"/>
    <w:rsid w:val="003D11D7"/>
    <w:rsid w:val="0042075B"/>
    <w:rsid w:val="004556A1"/>
    <w:rsid w:val="00467D0A"/>
    <w:rsid w:val="004A5609"/>
    <w:rsid w:val="004B63C3"/>
    <w:rsid w:val="004E198C"/>
    <w:rsid w:val="0050318B"/>
    <w:rsid w:val="00507204"/>
    <w:rsid w:val="00513387"/>
    <w:rsid w:val="00524232"/>
    <w:rsid w:val="00553283"/>
    <w:rsid w:val="00557FFA"/>
    <w:rsid w:val="00577586"/>
    <w:rsid w:val="00583F0B"/>
    <w:rsid w:val="005948DB"/>
    <w:rsid w:val="005D2E3D"/>
    <w:rsid w:val="005F4BEE"/>
    <w:rsid w:val="0062578C"/>
    <w:rsid w:val="00662F48"/>
    <w:rsid w:val="0067005E"/>
    <w:rsid w:val="00677D53"/>
    <w:rsid w:val="00680E06"/>
    <w:rsid w:val="006B7CF9"/>
    <w:rsid w:val="006B7EE0"/>
    <w:rsid w:val="006C1821"/>
    <w:rsid w:val="006E544D"/>
    <w:rsid w:val="006E688C"/>
    <w:rsid w:val="007236AB"/>
    <w:rsid w:val="0073040B"/>
    <w:rsid w:val="007479C4"/>
    <w:rsid w:val="00751132"/>
    <w:rsid w:val="00761EBE"/>
    <w:rsid w:val="007736D9"/>
    <w:rsid w:val="00784C01"/>
    <w:rsid w:val="0079626D"/>
    <w:rsid w:val="007A7B2C"/>
    <w:rsid w:val="007B38CF"/>
    <w:rsid w:val="007C6E41"/>
    <w:rsid w:val="007D124F"/>
    <w:rsid w:val="007D2C83"/>
    <w:rsid w:val="00802397"/>
    <w:rsid w:val="0081128F"/>
    <w:rsid w:val="00814EEA"/>
    <w:rsid w:val="0082653E"/>
    <w:rsid w:val="00861D20"/>
    <w:rsid w:val="00875DBD"/>
    <w:rsid w:val="00895214"/>
    <w:rsid w:val="00901BFF"/>
    <w:rsid w:val="00902DD2"/>
    <w:rsid w:val="0094028E"/>
    <w:rsid w:val="009675BB"/>
    <w:rsid w:val="00975626"/>
    <w:rsid w:val="009907CC"/>
    <w:rsid w:val="00990E31"/>
    <w:rsid w:val="00997AD6"/>
    <w:rsid w:val="009C3A9E"/>
    <w:rsid w:val="009D5E90"/>
    <w:rsid w:val="00A05479"/>
    <w:rsid w:val="00A14CB6"/>
    <w:rsid w:val="00A468D4"/>
    <w:rsid w:val="00A74456"/>
    <w:rsid w:val="00A77EC4"/>
    <w:rsid w:val="00A94493"/>
    <w:rsid w:val="00AA7B9E"/>
    <w:rsid w:val="00AD3FF6"/>
    <w:rsid w:val="00AE14B8"/>
    <w:rsid w:val="00AF7D22"/>
    <w:rsid w:val="00B015DB"/>
    <w:rsid w:val="00B179E9"/>
    <w:rsid w:val="00B45B73"/>
    <w:rsid w:val="00B46F35"/>
    <w:rsid w:val="00B47019"/>
    <w:rsid w:val="00B5036F"/>
    <w:rsid w:val="00B52FEB"/>
    <w:rsid w:val="00B63127"/>
    <w:rsid w:val="00B81C3F"/>
    <w:rsid w:val="00B9673A"/>
    <w:rsid w:val="00BA6EA2"/>
    <w:rsid w:val="00BC5D4A"/>
    <w:rsid w:val="00BE3967"/>
    <w:rsid w:val="00BF1193"/>
    <w:rsid w:val="00BF44A1"/>
    <w:rsid w:val="00C12844"/>
    <w:rsid w:val="00C30152"/>
    <w:rsid w:val="00C32C36"/>
    <w:rsid w:val="00C524B8"/>
    <w:rsid w:val="00C654AE"/>
    <w:rsid w:val="00C72354"/>
    <w:rsid w:val="00C95C23"/>
    <w:rsid w:val="00CA2491"/>
    <w:rsid w:val="00CD00A3"/>
    <w:rsid w:val="00CD497B"/>
    <w:rsid w:val="00CF1C17"/>
    <w:rsid w:val="00CF40DA"/>
    <w:rsid w:val="00D21C76"/>
    <w:rsid w:val="00D25E30"/>
    <w:rsid w:val="00D362F9"/>
    <w:rsid w:val="00D404B3"/>
    <w:rsid w:val="00D427CE"/>
    <w:rsid w:val="00D503C5"/>
    <w:rsid w:val="00D66E2E"/>
    <w:rsid w:val="00D836FC"/>
    <w:rsid w:val="00D874D9"/>
    <w:rsid w:val="00D90F7C"/>
    <w:rsid w:val="00DA0453"/>
    <w:rsid w:val="00DB0D0D"/>
    <w:rsid w:val="00DC1B46"/>
    <w:rsid w:val="00DC7777"/>
    <w:rsid w:val="00DE3659"/>
    <w:rsid w:val="00DE48DC"/>
    <w:rsid w:val="00DF2BE9"/>
    <w:rsid w:val="00DF482C"/>
    <w:rsid w:val="00E1780F"/>
    <w:rsid w:val="00E213EB"/>
    <w:rsid w:val="00E40208"/>
    <w:rsid w:val="00E43955"/>
    <w:rsid w:val="00E44D72"/>
    <w:rsid w:val="00E4772D"/>
    <w:rsid w:val="00E47CEA"/>
    <w:rsid w:val="00E57CD4"/>
    <w:rsid w:val="00E955EC"/>
    <w:rsid w:val="00EA37E0"/>
    <w:rsid w:val="00EA3913"/>
    <w:rsid w:val="00EC396D"/>
    <w:rsid w:val="00ED255A"/>
    <w:rsid w:val="00ED37E8"/>
    <w:rsid w:val="00EE213D"/>
    <w:rsid w:val="00F03EC5"/>
    <w:rsid w:val="00F25D20"/>
    <w:rsid w:val="00F64C0C"/>
    <w:rsid w:val="00F66433"/>
    <w:rsid w:val="00F80E9B"/>
    <w:rsid w:val="00FA7EFC"/>
    <w:rsid w:val="00FF3C2A"/>
    <w:rsid w:val="00FF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6E6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688C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68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688C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2616</Words>
  <Characters>14915</Characters>
  <Application>Microsoft Office Word</Application>
  <DocSecurity>0</DocSecurity>
  <Lines>124</Lines>
  <Paragraphs>34</Paragraphs>
  <ScaleCrop>false</ScaleCrop>
  <Company/>
  <LinksUpToDate>false</LinksUpToDate>
  <CharactersWithSpaces>17497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56</cp:revision>
  <dcterms:created xsi:type="dcterms:W3CDTF">2022-05-14T07:17:00Z</dcterms:created>
  <dcterms:modified xsi:type="dcterms:W3CDTF">2022-05-14T08:16:00Z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