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fupg95bp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 Behind the Output from the FDA Purple 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extracted all </w:t>
      </w:r>
      <w:r w:rsidDel="00000000" w:rsidR="00000000" w:rsidRPr="00000000">
        <w:rPr>
          <w:b w:val="1"/>
          <w:bCs w:val="1"/>
          <w:rtl w:val="0"/>
        </w:rPr>
        <w:t xml:space="preserve">Rx-only biologics</w:t>
      </w:r>
      <w:r w:rsidDel="00000000" w:rsidR="00000000" w:rsidRPr="00000000">
        <w:rPr>
          <w:rtl w:val="0"/>
        </w:rPr>
        <w:t xml:space="preserve"> from the FDA Purple Book and applied a structured pipeline to ensure accurate family grouping and biological type classification: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Formation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Families are only included if </w:t>
      </w:r>
      <w:r w:rsidDel="00000000" w:rsidR="00000000" w:rsidRPr="00000000">
        <w:rPr>
          <w:b w:val="1"/>
          <w:bCs w:val="1"/>
          <w:rtl w:val="0"/>
        </w:rPr>
        <w:t xml:space="preserve">at least one biosimilar references the base proper name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infliximab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family contains:</w:t>
        <w:br w:type="textWrapping"/>
        <w:t xml:space="preserve"> • The </w:t>
      </w:r>
      <w:r w:rsidDel="00000000" w:rsidR="00000000" w:rsidRPr="00000000">
        <w:rPr>
          <w:b w:val="1"/>
          <w:bCs w:val="1"/>
          <w:rtl w:val="0"/>
        </w:rPr>
        <w:t xml:space="preserve">classic 351(a) reference</w:t>
      </w:r>
      <w:r w:rsidDel="00000000" w:rsidR="00000000" w:rsidRPr="00000000">
        <w:rPr>
          <w:rtl w:val="0"/>
        </w:rPr>
        <w:t xml:space="preserve"> (e.g., Remicade).</w:t>
        <w:br w:type="textWrapping"/>
        <w:t xml:space="preserve"> • All </w:t>
      </w:r>
      <w:r w:rsidDel="00000000" w:rsidR="00000000" w:rsidRPr="00000000">
        <w:rPr>
          <w:b w:val="1"/>
          <w:bCs w:val="1"/>
          <w:rtl w:val="0"/>
        </w:rPr>
        <w:t xml:space="preserve">351(k) biosimilars/interchangeables</w:t>
      </w:r>
      <w:r w:rsidDel="00000000" w:rsidR="00000000" w:rsidRPr="00000000">
        <w:rPr>
          <w:rtl w:val="0"/>
        </w:rPr>
        <w:t xml:space="preserve"> tied to that reference.</w:t>
        <w:br w:type="textWrapping"/>
      </w:r>
      <w:r w:rsidDel="00000000" w:rsidR="00000000" w:rsidRPr="00000000">
        <w:rPr>
          <w:highlight w:val="yellow"/>
          <w:rtl w:val="0"/>
        </w:rPr>
        <w:t xml:space="preserve"> • Special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351(a) PIN-suffix entries</w:t>
      </w:r>
      <w:r w:rsidDel="00000000" w:rsidR="00000000" w:rsidRPr="00000000">
        <w:rPr>
          <w:highlight w:val="yellow"/>
          <w:rtl w:val="0"/>
        </w:rPr>
        <w:t xml:space="preserve"> (e.g., Zymfentra [infliximab-dyyb]) sharing the same base.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 Logic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duplicate BLA numbers within a family, we prioritize: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Interchangeable → Biosimilar → Reference.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Anchor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family is tagged with its </w:t>
      </w:r>
      <w:r w:rsidDel="00000000" w:rsidR="00000000" w:rsidRPr="00000000">
        <w:rPr>
          <w:b w:val="1"/>
          <w:bCs w:val="1"/>
          <w:rtl w:val="0"/>
        </w:rPr>
        <w:t xml:space="preserve">Family Reference Proprietary Name</w:t>
      </w:r>
      <w:r w:rsidDel="00000000" w:rsidR="00000000" w:rsidRPr="00000000">
        <w:rPr>
          <w:rtl w:val="0"/>
        </w:rPr>
        <w:t xml:space="preserve"> (the primary brand for the base).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INN Classification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INN stems/substems</w:t>
      </w:r>
      <w:r w:rsidDel="00000000" w:rsidR="00000000" w:rsidRPr="00000000">
        <w:rPr>
          <w:rtl w:val="0"/>
        </w:rPr>
        <w:t xml:space="preserve">, each product is assigned a </w:t>
      </w:r>
      <w:r w:rsidDel="00000000" w:rsidR="00000000" w:rsidRPr="00000000">
        <w:rPr>
          <w:b w:val="1"/>
          <w:bCs w:val="1"/>
          <w:rtl w:val="0"/>
        </w:rPr>
        <w:t xml:space="preserve">biological type</w:t>
      </w:r>
      <w:r w:rsidDel="00000000" w:rsidR="00000000" w:rsidRPr="00000000">
        <w:rPr>
          <w:rtl w:val="0"/>
        </w:rPr>
        <w:t xml:space="preserve">:</w:t>
        <w:br w:type="textWrapping"/>
        <w:t xml:space="preserve"> • </w:t>
      </w:r>
      <w:r w:rsidDel="00000000" w:rsidR="00000000" w:rsidRPr="00000000">
        <w:rPr>
          <w:i w:val="1"/>
          <w:iCs w:val="1"/>
          <w:rtl w:val="0"/>
        </w:rPr>
        <w:t xml:space="preserve">-mab</w:t>
      </w:r>
      <w:r w:rsidDel="00000000" w:rsidR="00000000" w:rsidRPr="00000000">
        <w:rPr>
          <w:rtl w:val="0"/>
        </w:rPr>
        <w:t xml:space="preserve"> = Monoclonal antibody (with human/chimeric/humanized sub-classification).</w:t>
        <w:br w:type="textWrapping"/>
        <w:t xml:space="preserve"> • </w:t>
      </w:r>
      <w:r w:rsidDel="00000000" w:rsidR="00000000" w:rsidRPr="00000000">
        <w:rPr>
          <w:i w:val="1"/>
          <w:iCs w:val="1"/>
          <w:rtl w:val="0"/>
        </w:rPr>
        <w:t xml:space="preserve">-cept</w:t>
      </w:r>
      <w:r w:rsidDel="00000000" w:rsidR="00000000" w:rsidRPr="00000000">
        <w:rPr>
          <w:rtl w:val="0"/>
        </w:rPr>
        <w:t xml:space="preserve"> = Receptor fusion protein.</w:t>
        <w:br w:type="textWrapping"/>
        <w:t xml:space="preserve"> • </w:t>
      </w:r>
      <w:r w:rsidDel="00000000" w:rsidR="00000000" w:rsidRPr="00000000">
        <w:rPr>
          <w:i w:val="1"/>
          <w:iCs w:val="1"/>
          <w:rtl w:val="0"/>
        </w:rPr>
        <w:t xml:space="preserve">-stim</w:t>
      </w:r>
      <w:r w:rsidDel="00000000" w:rsidR="00000000" w:rsidRPr="00000000">
        <w:rPr>
          <w:rtl w:val="0"/>
        </w:rPr>
        <w:t xml:space="preserve"> = Colony-stimulating factor.</w:t>
        <w:br w:type="textWrapping"/>
        <w:t xml:space="preserve"> • </w:t>
      </w:r>
      <w:r w:rsidDel="00000000" w:rsidR="00000000" w:rsidRPr="00000000">
        <w:rPr>
          <w:i w:val="1"/>
          <w:iCs w:val="1"/>
          <w:rtl w:val="0"/>
        </w:rPr>
        <w:t xml:space="preserve">epoetin</w:t>
      </w:r>
      <w:r w:rsidDel="00000000" w:rsidR="00000000" w:rsidRPr="00000000">
        <w:rPr>
          <w:rtl w:val="0"/>
        </w:rPr>
        <w:t xml:space="preserve"> = ESA (erythropoiesis-stimulating agent).</w:t>
        <w:br w:type="textWrapping"/>
        <w:t xml:space="preserve"> • </w:t>
      </w:r>
      <w:r w:rsidDel="00000000" w:rsidR="00000000" w:rsidRPr="00000000">
        <w:rPr>
          <w:i w:val="1"/>
          <w:iCs w:val="1"/>
          <w:rtl w:val="0"/>
        </w:rPr>
        <w:t xml:space="preserve">insulin</w:t>
      </w:r>
      <w:r w:rsidDel="00000000" w:rsidR="00000000" w:rsidRPr="00000000">
        <w:rPr>
          <w:rtl w:val="0"/>
        </w:rPr>
        <w:t xml:space="preserve"> = Insulin analog.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Excel-Safe Output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#NAME?</w:t>
      </w:r>
      <w:r w:rsidDel="00000000" w:rsidR="00000000" w:rsidRPr="00000000">
        <w:rPr>
          <w:rtl w:val="0"/>
        </w:rPr>
        <w:t xml:space="preserve"> errors, sensitive fields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-mab</w:t>
      </w:r>
      <w:r w:rsidDel="00000000" w:rsidR="00000000" w:rsidRPr="00000000">
        <w:rPr>
          <w:rtl w:val="0"/>
        </w:rPr>
        <w:t xml:space="preserve">) are stored with an </w:t>
      </w:r>
      <w:r w:rsidDel="00000000" w:rsidR="00000000" w:rsidRPr="00000000">
        <w:rPr>
          <w:b w:val="1"/>
          <w:bCs w:val="1"/>
          <w:rtl w:val="0"/>
        </w:rPr>
        <w:t xml:space="preserve">apostrophe prefix</w:t>
      </w:r>
      <w:r w:rsidDel="00000000" w:rsidR="00000000" w:rsidRPr="00000000">
        <w:rPr>
          <w:rtl w:val="0"/>
        </w:rPr>
        <w:t xml:space="preserve">, forcing Excel to treat them as plain text.</w:t>
        <w:br w:type="textWrapping"/>
        <w:br w:type="textWrapping"/>
        <w:br w:type="textWrapping"/>
        <w:t xml:space="preserve">Now we have 84 total records but only 58 are monoclonal antibodies (INN Stem: -mab). The rest are other biologic types.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Links Analysis: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SPL Link Missing (1 product):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Tyruko (Sandoz Inc.) - Monoclonal antibody (humanized)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Proper Name: natalizumab-sztn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Biologic Family: natalizumab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 Type: Brand name not found in SPL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Reason: SPL database only contains "TYSABRI (NATALIZUMAB)" but not "Tyruko"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Root Cause: Tyruko is a biosimilar of Tysabri, but SPL database may not have the biosimilar's label yet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