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sign-tokens"/>
    <w:p>
      <w:pPr>
        <w:pStyle w:val="Heading1"/>
      </w:pPr>
      <w:r>
        <w:t xml:space="preserve">Design tokens</w:t>
      </w:r>
    </w:p>
    <w:p>
      <w:pPr>
        <w:pStyle w:val="FirstParagraph"/>
      </w:pPr>
      <w:r>
        <w:t xml:space="preserve">Os tokens deste projeto são definidos em</w:t>
      </w:r>
      <w:r>
        <w:t xml:space="preserve"> </w:t>
      </w:r>
      <w:hyperlink r:id="rId20">
        <w:r>
          <w:rPr>
            <w:rStyle w:val="VerbatimChar"/>
          </w:rPr>
          <w:t xml:space="preserve">src/index.css</w:t>
        </w:r>
      </w:hyperlink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 </w:t>
      </w:r>
      <w:r>
        <w:t xml:space="preserve">do Tailwind CSS 4. Qualquer valor novo de cor, fonte ou espaçamento deve ser adicionado lá — não como valor hardcoded em um componente.</w:t>
      </w:r>
    </w:p>
    <w:bookmarkStart w:id="21" w:name="paleta-de-cores"/>
    <w:p>
      <w:pPr>
        <w:pStyle w:val="Heading2"/>
      </w:pPr>
      <w:r>
        <w:t xml:space="preserve">Paleta de cores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#0a0a0a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dominante do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Charcoal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--color-charcoal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#141414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Superfícies (cards, inputs, nav)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Charcoal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--color-charcoal-2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#1c1c1c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Superfícies elevadas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Hairline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--color-hairline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rgba(255, 255, 255, 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Bordas sutis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 de destaque única — CTAs, foco, estados 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 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--color-orange-soft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rgba(254, 82, 0, 0.16)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suave para blocos de destaque/confirmação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#f5f3ef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principal sobre fundo escuro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o rascunho</w:t>
      </w:r>
      <w:r>
        <w:t xml:space="preserve"> </w:t>
      </w:r>
      <w:r>
        <w:rPr>
          <w:rStyle w:val="VerbatimChar"/>
        </w:rPr>
        <w:t xml:space="preserve">REEADMEDAGALERA.md</w:t>
      </w:r>
      <w:r>
        <w:t xml:space="preserve"> </w:t>
      </w:r>
      <w:r>
        <w:t xml:space="preserve">(notas da aula) lista valores de uma exploração de marca anterior que não correspondem mais ao código. Esta tabela reflete os tokens realmente implementados — em caso de divergência,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 </w:t>
      </w:r>
      <w:r>
        <w:t xml:space="preserve">é a fonte da verdade.</w:t>
      </w:r>
    </w:p>
    <w:bookmarkEnd w:id="21"/>
    <w:bookmarkStart w:id="23" w:name="tipografia"/>
    <w:p>
      <w:pPr>
        <w:pStyle w:val="Heading2"/>
      </w:pPr>
      <w:r>
        <w:t xml:space="preserve">Tipografia</w:t>
      </w:r>
    </w:p>
    <w:p>
      <w:pPr>
        <w:pStyle w:val="FirstParagraph"/>
      </w:pPr>
      <w:r>
        <w:t xml:space="preserve">Três famílias, cada uma com um papel fixo: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Família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 Grotesk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Headlines e títulos —</w:t>
            </w:r>
            <w:r>
              <w:t xml:space="preserve"> </w:t>
            </w:r>
            <w:r>
              <w:t xml:space="preserve">“</w:t>
            </w:r>
            <w:r>
              <w:t xml:space="preserve">persuade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 de texto —</w:t>
            </w:r>
            <w:r>
              <w:t xml:space="preserve"> </w:t>
            </w:r>
            <w:r>
              <w:t xml:space="preserve">“</w:t>
            </w:r>
            <w:r>
              <w:t xml:space="preserve">explica</w:t>
            </w:r>
            <w:r>
              <w:t xml:space="preserve">”</w:t>
            </w:r>
            <w:r>
              <w:t xml:space="preserve"> </w:t>
            </w:r>
            <w:r>
              <w:t xml:space="preserve">(fonte padrão do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JetBrains Mono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eyebrows, CTAs —</w:t>
            </w:r>
            <w:r>
              <w:t xml:space="preserve"> </w:t>
            </w:r>
            <w:r>
              <w:t xml:space="preserve">“</w:t>
            </w:r>
            <w:r>
              <w:t xml:space="preserve">comprova</w:t>
            </w:r>
            <w:r>
              <w:t xml:space="preserve">”</w:t>
            </w:r>
            <w:r>
              <w:t xml:space="preserve"> </w:t>
            </w:r>
            <w:r>
              <w:t xml:space="preserve">(sempre uppercase + tracking)</w:t>
            </w:r>
          </w:p>
        </w:tc>
      </w:tr>
    </w:tbl>
    <w:bookmarkStart w:id="22" w:name="escala-usada-nos-componentes"/>
    <w:p>
      <w:pPr>
        <w:pStyle w:val="Heading3"/>
      </w:pPr>
      <w:r>
        <w:t xml:space="preserve">Escala usada nos componentes</w:t>
      </w:r>
    </w:p>
    <w:p>
      <w:pPr>
        <w:pStyle w:val="FirstParagraph"/>
      </w:pPr>
      <w:r>
        <w:t xml:space="preserve">Não há uma escala de</w:t>
      </w:r>
      <w:r>
        <w:t xml:space="preserve"> </w:t>
      </w:r>
      <w:r>
        <w:rPr>
          <w:rStyle w:val="VerbatimChar"/>
        </w:rPr>
        <w:t xml:space="preserve">font-size</w:t>
      </w:r>
      <w:r>
        <w:t xml:space="preserve"> </w:t>
      </w:r>
      <w:r>
        <w:t xml:space="preserve">declarada em tokens — os componentes usam classes utilitárias do Tailwind diretamente. Padrão observado no código: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hero (H1)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font-display text-4xl md:text-6xl font-semibold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Hero.jsx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de seção (H2)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font-display text-3xl md:text-4xl font-semibold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PathsSection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FlowSection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ComparisonSection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ClosingCta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 (H3)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font-display text-2xl font-semibold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DiagnosisDemo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DemandForm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text-sm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text-base leading-relaxed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Parágrafos de 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/ eyebrow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font-mono text-xs uppercase tracking-widest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Chips, botões, cabeçalhos de seção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font-mono text-[11px]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text-[10px]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Avisos de protótipo, copyright</w:t>
            </w:r>
          </w:p>
        </w:tc>
      </w:tr>
    </w:tbl>
    <w:bookmarkEnd w:id="22"/>
    <w:bookmarkEnd w:id="23"/>
    <w:bookmarkStart w:id="24" w:name="espaçamento"/>
    <w:p>
      <w:pPr>
        <w:pStyle w:val="Heading2"/>
      </w:pPr>
      <w:r>
        <w:t xml:space="preserve">Espaçamento</w:t>
      </w:r>
    </w:p>
    <w:p>
      <w:pPr>
        <w:pStyle w:val="FirstParagraph"/>
      </w:pPr>
      <w:r>
        <w:t xml:space="preserve">Não há tokens de espaçamento customizados — o projeto usa a escala padrão do Tailwind (múltiplos de 4px:</w:t>
      </w:r>
      <w:r>
        <w:t xml:space="preserve"> </w:t>
      </w:r>
      <w:r>
        <w:rPr>
          <w:rStyle w:val="VerbatimChar"/>
        </w:rPr>
        <w:t xml:space="preserve">p-4</w:t>
      </w:r>
      <w:r>
        <w:t xml:space="preserve"> </w:t>
      </w:r>
      <w:r>
        <w:t xml:space="preserve">= 16px,</w:t>
      </w:r>
      <w:r>
        <w:t xml:space="preserve"> </w:t>
      </w:r>
      <w:r>
        <w:rPr>
          <w:rStyle w:val="VerbatimChar"/>
        </w:rPr>
        <w:t xml:space="preserve">p-6</w:t>
      </w:r>
      <w:r>
        <w:t xml:space="preserve"> </w:t>
      </w:r>
      <w:r>
        <w:t xml:space="preserve">= 24px,</w:t>
      </w:r>
      <w:r>
        <w:t xml:space="preserve"> </w:t>
      </w:r>
      <w:r>
        <w:rPr>
          <w:rStyle w:val="VerbatimChar"/>
        </w:rPr>
        <w:t xml:space="preserve">py-20</w:t>
      </w:r>
      <w:r>
        <w:t xml:space="preserve"> </w:t>
      </w:r>
      <w:r>
        <w:t xml:space="preserve">= 80px). Ao precisar de um espaçamento novo e recorrente, prefira adicioná-lo como token (</w:t>
      </w:r>
      <w:r>
        <w:rPr>
          <w:rStyle w:val="VerbatimChar"/>
        </w:rPr>
        <w:t xml:space="preserve">--spacing-*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@theme</w:t>
      </w:r>
      <w:r>
        <w:t xml:space="preserve">) em vez de usar valores arbitrários (</w:t>
      </w:r>
      <w:r>
        <w:rPr>
          <w:rStyle w:val="VerbatimChar"/>
        </w:rPr>
        <w:t xml:space="preserve">p-[17px]</w:t>
      </w:r>
      <w:r>
        <w:t xml:space="preserve">).</w:t>
      </w:r>
    </w:p>
    <w:bookmarkEnd w:id="24"/>
    <w:bookmarkStart w:id="25" w:name="efeitos-reutilizáveis"/>
    <w:p>
      <w:pPr>
        <w:pStyle w:val="Heading2"/>
      </w:pPr>
      <w:r>
        <w:t xml:space="preserve">Efeitos reutilizáveis</w:t>
      </w:r>
    </w:p>
    <w:p>
      <w:pPr>
        <w:pStyle w:val="FirstParagraph"/>
      </w:pPr>
      <w:r>
        <w:t xml:space="preserve">Classes utilitárias globais definidas em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.glass</w:t>
      </w:r>
      <w:r>
        <w:t xml:space="preserve"> </w:t>
      </w:r>
      <w:r>
        <w:t xml:space="preserve">— fundo translúcido com blur, usado nos cards de demonstração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.hairline</w:t>
      </w:r>
      <w:r>
        <w:t xml:space="preserve"> </w:t>
      </w:r>
      <w:r>
        <w:t xml:space="preserve">— cor de borda padrão (</w:t>
      </w:r>
      <w:r>
        <w:rPr>
          <w:rStyle w:val="VerbatimChar"/>
        </w:rPr>
        <w:t xml:space="preserve">--color-hairline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.font-display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.font-mono</w:t>
      </w:r>
      <w:r>
        <w:t xml:space="preserve"> </w:t>
      </w:r>
      <w:r>
        <w:t xml:space="preserve">— atalhos para as famílias de fonte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:focus-visible</w:t>
      </w:r>
      <w:r>
        <w:t xml:space="preserve"> </w:t>
      </w:r>
      <w:r>
        <w:t xml:space="preserve">global com outline laranja de 2px (acessibilidade de foco)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src/index.c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rc/index.c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2026-09-18T12:55:45Z</dcterms:created>
  <dcterms:modified xsi:type="dcterms:W3CDTF">2026-09-18T12:55:45Z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