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</w:rPr>
      </w:pPr>
      <w:bookmarkStart w:colFirst="0" w:colLast="0" w:name="_1s5hvrcaeozf" w:id="0"/>
      <w:bookmarkEnd w:id="0"/>
      <w:r w:rsidDel="00000000" w:rsidR="00000000" w:rsidRPr="00000000">
        <w:rPr>
          <w:b w:val="1"/>
          <w:rtl w:val="0"/>
        </w:rPr>
        <w:t xml:space="preserve">Políticas de Privacidade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Em desenvolvimento…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color w:val="d5a6bd"/>
          <w:sz w:val="20"/>
          <w:szCs w:val="20"/>
        </w:rPr>
      </w:pPr>
      <w:r w:rsidDel="00000000" w:rsidR="00000000" w:rsidRPr="00000000">
        <w:rPr>
          <w:color w:val="d5a6bd"/>
          <w:sz w:val="20"/>
          <w:szCs w:val="20"/>
          <w:rtl w:val="0"/>
        </w:rPr>
        <w:t xml:space="preserve">https://conectamaes.linceonline.com.br/</w:t>
      </w:r>
    </w:p>
    <w:sectPr>
      <w:headerReference r:id="rId6" w:type="default"/>
      <w:foot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WordPictureWatermark1" style="position:absolute;width:453.5433070866142pt;height:453.5433070866142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