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0725dcaf20651f188e2474208b7901b777563f"/>
    <w:p>
      <w:pPr>
        <w:pStyle w:val="Heading1"/>
      </w:pPr>
      <w:r>
        <w:t xml:space="preserve">Documentação LGPD – Plataforma Dellmar Docs</w:t>
      </w:r>
    </w:p>
    <w:p>
      <w:pPr>
        <w:pStyle w:val="FirstParagraph"/>
      </w:pPr>
      <w:r>
        <w:rPr>
          <w:b/>
          <w:bCs/>
        </w:rPr>
        <w:t xml:space="preserve">Empresa Controladora:</w:t>
      </w:r>
      <w:r>
        <w:t xml:space="preserve"> </w:t>
      </w:r>
      <w:r>
        <w:t xml:space="preserve">Dellmar Transportes LTDA</w:t>
      </w:r>
      <w:r>
        <w:br/>
      </w:r>
      <w:r>
        <w:rPr>
          <w:b/>
          <w:bCs/>
        </w:rPr>
        <w:t xml:space="preserve">CNPJ:</w:t>
      </w:r>
      <w:r>
        <w:t xml:space="preserve"> </w:t>
      </w:r>
      <w:r>
        <w:t xml:space="preserve">13.254.104/0001-74</w:t>
      </w:r>
      <w:r>
        <w:br/>
      </w:r>
      <w:r>
        <w:rPr>
          <w:b/>
          <w:bCs/>
        </w:rPr>
        <w:t xml:space="preserve">Plataforma:</w:t>
      </w:r>
      <w:r>
        <w:t xml:space="preserve"> </w:t>
      </w:r>
      <w:r>
        <w:t xml:space="preserve">Dellmar Docs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dellmardocs.com.br</w:t>
      </w:r>
      <w:r>
        <w:br/>
      </w:r>
      <w:r>
        <w:rPr>
          <w:b/>
          <w:bCs/>
        </w:rPr>
        <w:t xml:space="preserve">Responsável Técnico (Operador):</w:t>
      </w:r>
      <w:r>
        <w:t xml:space="preserve"> </w:t>
      </w:r>
      <w:r>
        <w:t xml:space="preserve">Renan Ferreira dos Santos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07/12/2025</w:t>
      </w:r>
    </w:p>
    <w:p>
      <w:r>
        <w:pict>
          <v:rect style="width:0;height:1.5pt" o:hralign="center" o:hrstd="t" o:hr="t"/>
        </w:pict>
      </w:r>
    </w:p>
    <w:bookmarkStart w:id="33" w:name="política-de-privacidade-dellmar-docs"/>
    <w:p>
      <w:pPr>
        <w:pStyle w:val="Heading2"/>
      </w:pPr>
      <w:r>
        <w:t xml:space="preserve">1. Política de Privacidade – Dellmar Docs</w:t>
      </w:r>
    </w:p>
    <w:p>
      <w:pPr>
        <w:pStyle w:val="FirstParagraph"/>
      </w:pPr>
      <w:r>
        <w:t xml:space="preserve">A presente Política de Privacidade tem como objetivo demonstrar o compromisso da</w:t>
      </w:r>
      <w:r>
        <w:t xml:space="preserve"> </w:t>
      </w:r>
      <w:r>
        <w:rPr>
          <w:b/>
          <w:bCs/>
        </w:rPr>
        <w:t xml:space="preserve">Dellmar Transportes LTDA</w:t>
      </w:r>
      <w:r>
        <w:t xml:space="preserve"> </w:t>
      </w:r>
      <w:r>
        <w:t xml:space="preserve">com a proteção dos dados pessoais tratados por meio da plataforma</w:t>
      </w:r>
      <w:r>
        <w:t xml:space="preserve"> </w:t>
      </w:r>
      <w:r>
        <w:rPr>
          <w:b/>
          <w:bCs/>
        </w:rPr>
        <w:t xml:space="preserve">Dellmar Docs</w:t>
      </w:r>
      <w:r>
        <w:t xml:space="preserve">, em conformidade com a Lei Geral de Proteção de Dados – LGPD (Lei nº 13.709/2018).</w:t>
      </w:r>
    </w:p>
    <w:bookmarkStart w:id="26" w:name="dados-coletados"/>
    <w:p>
      <w:pPr>
        <w:pStyle w:val="Heading3"/>
      </w:pPr>
      <w:r>
        <w:t xml:space="preserve">1.1. Dados coletados</w:t>
      </w:r>
    </w:p>
    <w:p>
      <w:pPr>
        <w:pStyle w:val="FirstParagraph"/>
      </w:pPr>
      <w:r>
        <w:t xml:space="preserve">A plataforma poderá coletar os seguintes dados:</w:t>
      </w:r>
    </w:p>
    <w:bookmarkStart w:id="20" w:name="a-criação-de-seguro-de-carga"/>
    <w:p>
      <w:pPr>
        <w:pStyle w:val="Heading4"/>
      </w:pPr>
      <w:r>
        <w:t xml:space="preserve">a) Criação de seguro de carga</w:t>
      </w:r>
    </w:p>
    <w:p>
      <w:pPr>
        <w:pStyle w:val="Compact"/>
        <w:numPr>
          <w:ilvl w:val="0"/>
          <w:numId w:val="1001"/>
        </w:numPr>
      </w:pPr>
      <w:r>
        <w:t xml:space="preserve">Valor total da carga</w:t>
      </w:r>
    </w:p>
    <w:p>
      <w:pPr>
        <w:pStyle w:val="Compact"/>
        <w:numPr>
          <w:ilvl w:val="0"/>
          <w:numId w:val="1001"/>
        </w:numPr>
      </w:pPr>
      <w:r>
        <w:t xml:space="preserve">Placas dos veículos</w:t>
      </w:r>
    </w:p>
    <w:p>
      <w:pPr>
        <w:pStyle w:val="Compact"/>
        <w:numPr>
          <w:ilvl w:val="0"/>
          <w:numId w:val="1001"/>
        </w:numPr>
      </w:pPr>
      <w:r>
        <w:t xml:space="preserve">Local de origem e destino</w:t>
      </w:r>
    </w:p>
    <w:p>
      <w:pPr>
        <w:pStyle w:val="Compact"/>
        <w:numPr>
          <w:ilvl w:val="0"/>
          <w:numId w:val="1001"/>
        </w:numPr>
      </w:pPr>
      <w:r>
        <w:t xml:space="preserve">Nome do remetente e destinatário</w:t>
      </w:r>
    </w:p>
    <w:p>
      <w:pPr>
        <w:pStyle w:val="Compact"/>
        <w:numPr>
          <w:ilvl w:val="0"/>
          <w:numId w:val="1001"/>
        </w:numPr>
      </w:pPr>
      <w:r>
        <w:t xml:space="preserve">CNPJ do remetente e destinatário</w:t>
      </w:r>
    </w:p>
    <w:p>
      <w:pPr>
        <w:pStyle w:val="Compact"/>
        <w:numPr>
          <w:ilvl w:val="0"/>
          <w:numId w:val="1001"/>
        </w:numPr>
      </w:pPr>
      <w:r>
        <w:t xml:space="preserve">Endereço do remetente e destinatário</w:t>
      </w:r>
    </w:p>
    <w:p>
      <w:pPr>
        <w:pStyle w:val="Compact"/>
        <w:numPr>
          <w:ilvl w:val="0"/>
          <w:numId w:val="1001"/>
        </w:numPr>
      </w:pPr>
      <w:r>
        <w:t xml:space="preserve">Nome do condutor</w:t>
      </w:r>
    </w:p>
    <w:p>
      <w:pPr>
        <w:pStyle w:val="Compact"/>
        <w:numPr>
          <w:ilvl w:val="0"/>
          <w:numId w:val="1001"/>
        </w:numPr>
      </w:pPr>
      <w:r>
        <w:t xml:space="preserve">CPF do condutor</w:t>
      </w:r>
    </w:p>
    <w:p>
      <w:pPr>
        <w:pStyle w:val="Compact"/>
        <w:numPr>
          <w:ilvl w:val="0"/>
          <w:numId w:val="1001"/>
        </w:numPr>
      </w:pPr>
      <w:r>
        <w:t xml:space="preserve">Número do seguro da carga</w:t>
      </w:r>
    </w:p>
    <w:bookmarkEnd w:id="20"/>
    <w:bookmarkStart w:id="21" w:name="b-acesso-à-plataforma"/>
    <w:p>
      <w:pPr>
        <w:pStyle w:val="Heading4"/>
      </w:pPr>
      <w:r>
        <w:t xml:space="preserve">b) Acesso à plataforma</w:t>
      </w:r>
    </w:p>
    <w:p>
      <w:pPr>
        <w:pStyle w:val="Compact"/>
        <w:numPr>
          <w:ilvl w:val="0"/>
          <w:numId w:val="1002"/>
        </w:numPr>
      </w:pPr>
      <w:r>
        <w:t xml:space="preserve">Nome do usuário</w:t>
      </w:r>
    </w:p>
    <w:p>
      <w:pPr>
        <w:pStyle w:val="Compact"/>
        <w:numPr>
          <w:ilvl w:val="0"/>
          <w:numId w:val="1002"/>
        </w:numPr>
      </w:pPr>
      <w:r>
        <w:t xml:space="preserve">Transportadora</w:t>
      </w:r>
    </w:p>
    <w:p>
      <w:pPr>
        <w:pStyle w:val="Compact"/>
        <w:numPr>
          <w:ilvl w:val="0"/>
          <w:numId w:val="1002"/>
        </w:numPr>
      </w:pPr>
      <w:r>
        <w:t xml:space="preserve">Filial</w:t>
      </w:r>
    </w:p>
    <w:p>
      <w:pPr>
        <w:pStyle w:val="Compact"/>
        <w:numPr>
          <w:ilvl w:val="0"/>
          <w:numId w:val="1002"/>
        </w:numPr>
      </w:pPr>
      <w:r>
        <w:t xml:space="preserve">E-mail</w:t>
      </w:r>
    </w:p>
    <w:p>
      <w:pPr>
        <w:pStyle w:val="Compact"/>
        <w:numPr>
          <w:ilvl w:val="0"/>
          <w:numId w:val="1002"/>
        </w:numPr>
      </w:pPr>
      <w:r>
        <w:t xml:space="preserve">Senha (armazenada de forma criptografada)</w:t>
      </w:r>
    </w:p>
    <w:p>
      <w:pPr>
        <w:pStyle w:val="Compact"/>
        <w:numPr>
          <w:ilvl w:val="0"/>
          <w:numId w:val="1002"/>
        </w:numPr>
      </w:pPr>
      <w:r>
        <w:t xml:space="preserve">Setor</w:t>
      </w:r>
    </w:p>
    <w:p>
      <w:pPr>
        <w:pStyle w:val="Compact"/>
        <w:numPr>
          <w:ilvl w:val="0"/>
          <w:numId w:val="1002"/>
        </w:numPr>
      </w:pPr>
      <w:r>
        <w:t xml:space="preserve">Usuário e senha da Apisul (quando utilizado)</w:t>
      </w:r>
    </w:p>
    <w:bookmarkEnd w:id="21"/>
    <w:bookmarkStart w:id="22" w:name="c-lançamento-de-documentos"/>
    <w:p>
      <w:pPr>
        <w:pStyle w:val="Heading4"/>
      </w:pPr>
      <w:r>
        <w:t xml:space="preserve">c) Lançamento de documentos</w:t>
      </w:r>
    </w:p>
    <w:p>
      <w:pPr>
        <w:pStyle w:val="Compact"/>
        <w:numPr>
          <w:ilvl w:val="0"/>
          <w:numId w:val="1003"/>
        </w:numPr>
      </w:pPr>
      <w:r>
        <w:t xml:space="preserve">Nome do condutor</w:t>
      </w:r>
    </w:p>
    <w:p>
      <w:pPr>
        <w:pStyle w:val="Compact"/>
        <w:numPr>
          <w:ilvl w:val="0"/>
          <w:numId w:val="1003"/>
        </w:numPr>
      </w:pPr>
      <w:r>
        <w:t xml:space="preserve">Placa</w:t>
      </w:r>
    </w:p>
    <w:p>
      <w:pPr>
        <w:pStyle w:val="Compact"/>
        <w:numPr>
          <w:ilvl w:val="0"/>
          <w:numId w:val="1003"/>
        </w:numPr>
      </w:pPr>
      <w:r>
        <w:t xml:space="preserve">Cliente</w:t>
      </w:r>
    </w:p>
    <w:p>
      <w:pPr>
        <w:pStyle w:val="Compact"/>
        <w:numPr>
          <w:ilvl w:val="0"/>
          <w:numId w:val="1003"/>
        </w:numPr>
      </w:pPr>
      <w:r>
        <w:t xml:space="preserve">Data de envio do malote</w:t>
      </w:r>
    </w:p>
    <w:p>
      <w:pPr>
        <w:pStyle w:val="Compact"/>
        <w:numPr>
          <w:ilvl w:val="0"/>
          <w:numId w:val="1003"/>
        </w:numPr>
      </w:pPr>
      <w:r>
        <w:t xml:space="preserve">Data de criação</w:t>
      </w:r>
    </w:p>
    <w:p>
      <w:pPr>
        <w:pStyle w:val="Compact"/>
        <w:numPr>
          <w:ilvl w:val="0"/>
          <w:numId w:val="1003"/>
        </w:numPr>
      </w:pPr>
      <w:r>
        <w:t xml:space="preserve">Status do manifesto</w:t>
      </w:r>
    </w:p>
    <w:p>
      <w:pPr>
        <w:pStyle w:val="Compact"/>
        <w:numPr>
          <w:ilvl w:val="0"/>
          <w:numId w:val="1003"/>
        </w:numPr>
      </w:pPr>
      <w:r>
        <w:t xml:space="preserve">Arquivos em PDF ou PNG</w:t>
      </w:r>
    </w:p>
    <w:p>
      <w:pPr>
        <w:pStyle w:val="Compact"/>
        <w:numPr>
          <w:ilvl w:val="0"/>
          <w:numId w:val="1003"/>
        </w:numPr>
      </w:pPr>
      <w:r>
        <w:t xml:space="preserve">Usuário responsável pelo lançamento</w:t>
      </w:r>
    </w:p>
    <w:p>
      <w:pPr>
        <w:pStyle w:val="Compact"/>
        <w:numPr>
          <w:ilvl w:val="0"/>
          <w:numId w:val="1003"/>
        </w:numPr>
      </w:pPr>
      <w:r>
        <w:t xml:space="preserve">Status do comprovante</w:t>
      </w:r>
    </w:p>
    <w:p>
      <w:pPr>
        <w:pStyle w:val="Compact"/>
        <w:numPr>
          <w:ilvl w:val="0"/>
          <w:numId w:val="1003"/>
        </w:numPr>
      </w:pPr>
      <w:r>
        <w:t xml:space="preserve">Nome do arquivo salvo no banco</w:t>
      </w:r>
    </w:p>
    <w:p>
      <w:pPr>
        <w:pStyle w:val="Compact"/>
        <w:numPr>
          <w:ilvl w:val="0"/>
          <w:numId w:val="1003"/>
        </w:numPr>
      </w:pPr>
      <w:r>
        <w:t xml:space="preserve">Mensagens associadas (Diálogo)</w:t>
      </w:r>
    </w:p>
    <w:bookmarkEnd w:id="22"/>
    <w:bookmarkStart w:id="23" w:name="d-lançamento-de-cargas"/>
    <w:p>
      <w:pPr>
        <w:pStyle w:val="Heading4"/>
      </w:pPr>
      <w:r>
        <w:t xml:space="preserve">d) Lançamento de cargas</w:t>
      </w:r>
    </w:p>
    <w:p>
      <w:pPr>
        <w:pStyle w:val="Compact"/>
        <w:numPr>
          <w:ilvl w:val="0"/>
          <w:numId w:val="1004"/>
        </w:numPr>
      </w:pPr>
      <w:r>
        <w:t xml:space="preserve">Data do carregamento</w:t>
      </w:r>
    </w:p>
    <w:p>
      <w:pPr>
        <w:pStyle w:val="Compact"/>
        <w:numPr>
          <w:ilvl w:val="0"/>
          <w:numId w:val="1004"/>
        </w:numPr>
      </w:pPr>
      <w:r>
        <w:t xml:space="preserve">UF e cidade de origem</w:t>
      </w:r>
    </w:p>
    <w:p>
      <w:pPr>
        <w:pStyle w:val="Compact"/>
        <w:numPr>
          <w:ilvl w:val="0"/>
          <w:numId w:val="1004"/>
        </w:numPr>
      </w:pPr>
      <w:r>
        <w:t xml:space="preserve">UF e cidade de destino</w:t>
      </w:r>
    </w:p>
    <w:p>
      <w:pPr>
        <w:pStyle w:val="Compact"/>
        <w:numPr>
          <w:ilvl w:val="0"/>
          <w:numId w:val="1004"/>
        </w:numPr>
      </w:pPr>
      <w:r>
        <w:t xml:space="preserve">Rota</w:t>
      </w:r>
    </w:p>
    <w:p>
      <w:pPr>
        <w:pStyle w:val="Compact"/>
        <w:numPr>
          <w:ilvl w:val="0"/>
          <w:numId w:val="1004"/>
        </w:numPr>
      </w:pPr>
      <w:r>
        <w:t xml:space="preserve">Valor do frete</w:t>
      </w:r>
    </w:p>
    <w:p>
      <w:pPr>
        <w:pStyle w:val="Compact"/>
        <w:numPr>
          <w:ilvl w:val="0"/>
          <w:numId w:val="1004"/>
        </w:numPr>
      </w:pPr>
      <w:r>
        <w:t xml:space="preserve">Status da carga</w:t>
      </w:r>
    </w:p>
    <w:p>
      <w:pPr>
        <w:pStyle w:val="Compact"/>
        <w:numPr>
          <w:ilvl w:val="0"/>
          <w:numId w:val="1004"/>
        </w:numPr>
      </w:pPr>
      <w:r>
        <w:t xml:space="preserve">Observações</w:t>
      </w:r>
    </w:p>
    <w:p>
      <w:pPr>
        <w:pStyle w:val="Compact"/>
        <w:numPr>
          <w:ilvl w:val="0"/>
          <w:numId w:val="1004"/>
        </w:numPr>
      </w:pPr>
      <w:r>
        <w:t xml:space="preserve">Usuário, transportadora e filial responsáveis</w:t>
      </w:r>
    </w:p>
    <w:p>
      <w:pPr>
        <w:pStyle w:val="Compact"/>
        <w:numPr>
          <w:ilvl w:val="0"/>
          <w:numId w:val="1004"/>
        </w:numPr>
      </w:pPr>
      <w:r>
        <w:t xml:space="preserve">Ocorrências lançadas</w:t>
      </w:r>
    </w:p>
    <w:bookmarkEnd w:id="23"/>
    <w:bookmarkStart w:id="24" w:name="e-base-de-conhecimento"/>
    <w:p>
      <w:pPr>
        <w:pStyle w:val="Heading4"/>
      </w:pPr>
      <w:r>
        <w:t xml:space="preserve">e) Base de conhecimento</w:t>
      </w:r>
    </w:p>
    <w:p>
      <w:pPr>
        <w:pStyle w:val="Compact"/>
        <w:numPr>
          <w:ilvl w:val="0"/>
          <w:numId w:val="1005"/>
        </w:numPr>
      </w:pPr>
      <w:r>
        <w:t xml:space="preserve">Título</w:t>
      </w:r>
    </w:p>
    <w:p>
      <w:pPr>
        <w:pStyle w:val="Compact"/>
        <w:numPr>
          <w:ilvl w:val="0"/>
          <w:numId w:val="1005"/>
        </w:numPr>
      </w:pPr>
      <w:r>
        <w:t xml:space="preserve">Conteúdo (textos e imagens)</w:t>
      </w:r>
    </w:p>
    <w:p>
      <w:pPr>
        <w:pStyle w:val="Compact"/>
        <w:numPr>
          <w:ilvl w:val="0"/>
          <w:numId w:val="1005"/>
        </w:numPr>
      </w:pPr>
      <w:r>
        <w:t xml:space="preserve">Tipo (tutorial ou correção)</w:t>
      </w:r>
    </w:p>
    <w:p>
      <w:pPr>
        <w:pStyle w:val="Compact"/>
        <w:numPr>
          <w:ilvl w:val="0"/>
          <w:numId w:val="1005"/>
        </w:numPr>
      </w:pPr>
      <w:r>
        <w:t xml:space="preserve">Autor</w:t>
      </w:r>
    </w:p>
    <w:bookmarkEnd w:id="24"/>
    <w:bookmarkStart w:id="25" w:name="f-usuários-admin"/>
    <w:p>
      <w:pPr>
        <w:pStyle w:val="Heading4"/>
      </w:pPr>
      <w:r>
        <w:t xml:space="preserve">f) Usuários (Admin)</w:t>
      </w:r>
    </w:p>
    <w:p>
      <w:pPr>
        <w:pStyle w:val="Compact"/>
        <w:numPr>
          <w:ilvl w:val="0"/>
          <w:numId w:val="1006"/>
        </w:numPr>
      </w:pPr>
      <w:r>
        <w:t xml:space="preserve">Nome</w:t>
      </w:r>
    </w:p>
    <w:p>
      <w:pPr>
        <w:pStyle w:val="Compact"/>
        <w:numPr>
          <w:ilvl w:val="0"/>
          <w:numId w:val="1006"/>
        </w:numPr>
      </w:pPr>
      <w:r>
        <w:t xml:space="preserve">E-mail</w:t>
      </w:r>
    </w:p>
    <w:p>
      <w:pPr>
        <w:pStyle w:val="Compact"/>
        <w:numPr>
          <w:ilvl w:val="0"/>
          <w:numId w:val="1006"/>
        </w:numPr>
      </w:pPr>
      <w:r>
        <w:t xml:space="preserve">Setor</w:t>
      </w:r>
    </w:p>
    <w:bookmarkEnd w:id="25"/>
    <w:bookmarkEnd w:id="26"/>
    <w:bookmarkStart w:id="27" w:name="finalidade-do-tratamento"/>
    <w:p>
      <w:pPr>
        <w:pStyle w:val="Heading3"/>
      </w:pPr>
      <w:r>
        <w:t xml:space="preserve">1.2. Finalidade do tratamento</w:t>
      </w:r>
    </w:p>
    <w:p>
      <w:pPr>
        <w:pStyle w:val="FirstParagraph"/>
      </w:pPr>
      <w:r>
        <w:t xml:space="preserve">Os dados são utilizados para:</w:t>
      </w:r>
    </w:p>
    <w:p>
      <w:pPr>
        <w:pStyle w:val="Compact"/>
        <w:numPr>
          <w:ilvl w:val="0"/>
          <w:numId w:val="1007"/>
        </w:numPr>
      </w:pPr>
      <w:r>
        <w:t xml:space="preserve">Gestão operacional de cargas</w:t>
      </w:r>
    </w:p>
    <w:p>
      <w:pPr>
        <w:pStyle w:val="Compact"/>
        <w:numPr>
          <w:ilvl w:val="0"/>
          <w:numId w:val="1007"/>
        </w:numPr>
      </w:pPr>
      <w:r>
        <w:t xml:space="preserve">Controle de documentos e malotes</w:t>
      </w:r>
    </w:p>
    <w:p>
      <w:pPr>
        <w:pStyle w:val="Compact"/>
        <w:numPr>
          <w:ilvl w:val="0"/>
          <w:numId w:val="1007"/>
        </w:numPr>
      </w:pPr>
      <w:r>
        <w:t xml:space="preserve">Emissão e controle de seguros</w:t>
      </w:r>
    </w:p>
    <w:p>
      <w:pPr>
        <w:pStyle w:val="Compact"/>
        <w:numPr>
          <w:ilvl w:val="0"/>
          <w:numId w:val="1007"/>
        </w:numPr>
      </w:pPr>
      <w:r>
        <w:t xml:space="preserve">Gestão de usuários</w:t>
      </w:r>
    </w:p>
    <w:p>
      <w:pPr>
        <w:pStyle w:val="Compact"/>
        <w:numPr>
          <w:ilvl w:val="0"/>
          <w:numId w:val="1007"/>
        </w:numPr>
      </w:pPr>
      <w:r>
        <w:t xml:space="preserve">Organização de conhecimento interno</w:t>
      </w:r>
    </w:p>
    <w:bookmarkEnd w:id="27"/>
    <w:bookmarkStart w:id="28" w:name="compartilhamento-de-dados"/>
    <w:p>
      <w:pPr>
        <w:pStyle w:val="Heading3"/>
      </w:pPr>
      <w:r>
        <w:t xml:space="preserve">1.3. Compartilhamento de dados</w:t>
      </w:r>
    </w:p>
    <w:p>
      <w:pPr>
        <w:pStyle w:val="FirstParagraph"/>
      </w:pPr>
      <w:r>
        <w:t xml:space="preserve">Os dados</w:t>
      </w:r>
      <w:r>
        <w:t xml:space="preserve"> </w:t>
      </w:r>
      <w:r>
        <w:rPr>
          <w:b/>
          <w:bCs/>
        </w:rPr>
        <w:t xml:space="preserve">não são compartilhados com terceiros</w:t>
      </w:r>
      <w:r>
        <w:t xml:space="preserve">, exceto quando necessário para cumprimento de obrigações legais.</w:t>
      </w:r>
    </w:p>
    <w:bookmarkEnd w:id="28"/>
    <w:bookmarkStart w:id="29" w:name="armazenamento-e-segurança"/>
    <w:p>
      <w:pPr>
        <w:pStyle w:val="Heading3"/>
      </w:pPr>
      <w:r>
        <w:t xml:space="preserve">1.4. Armazenamento e segurança</w:t>
      </w:r>
    </w:p>
    <w:p>
      <w:pPr>
        <w:pStyle w:val="FirstParagraph"/>
      </w:pPr>
      <w:r>
        <w:t xml:space="preserve">Os dados são armazenados em servidores seguros e protegidos por autenticação, criptografia de senhas e controle de permissões.</w:t>
      </w:r>
    </w:p>
    <w:bookmarkEnd w:id="29"/>
    <w:bookmarkStart w:id="30" w:name="direitos-do-titular"/>
    <w:p>
      <w:pPr>
        <w:pStyle w:val="Heading3"/>
      </w:pPr>
      <w:r>
        <w:t xml:space="preserve">1.5. Direitos do titular</w:t>
      </w:r>
    </w:p>
    <w:p>
      <w:pPr>
        <w:pStyle w:val="FirstParagraph"/>
      </w:pPr>
      <w:r>
        <w:t xml:space="preserve">O titular pode solicitar:</w:t>
      </w:r>
    </w:p>
    <w:p>
      <w:pPr>
        <w:pStyle w:val="Compact"/>
        <w:numPr>
          <w:ilvl w:val="0"/>
          <w:numId w:val="1008"/>
        </w:numPr>
      </w:pPr>
      <w:r>
        <w:t xml:space="preserve">Acesso aos dados</w:t>
      </w:r>
    </w:p>
    <w:p>
      <w:pPr>
        <w:pStyle w:val="Compact"/>
        <w:numPr>
          <w:ilvl w:val="0"/>
          <w:numId w:val="1008"/>
        </w:numPr>
      </w:pPr>
      <w:r>
        <w:t xml:space="preserve">Correção</w:t>
      </w:r>
    </w:p>
    <w:p>
      <w:pPr>
        <w:pStyle w:val="Compact"/>
        <w:numPr>
          <w:ilvl w:val="0"/>
          <w:numId w:val="1008"/>
        </w:numPr>
      </w:pPr>
      <w:r>
        <w:t xml:space="preserve">Exclusão quando aplicável</w:t>
      </w:r>
    </w:p>
    <w:bookmarkEnd w:id="30"/>
    <w:bookmarkStart w:id="31" w:name="controlador-dos-dados"/>
    <w:p>
      <w:pPr>
        <w:pStyle w:val="Heading3"/>
      </w:pPr>
      <w:r>
        <w:t xml:space="preserve">1.6. Controlador dos dados</w:t>
      </w:r>
    </w:p>
    <w:p>
      <w:pPr>
        <w:pStyle w:val="FirstParagraph"/>
      </w:pPr>
      <w:r>
        <w:rPr>
          <w:b/>
          <w:bCs/>
        </w:rPr>
        <w:t xml:space="preserve">Dellmar Transportes LTDA</w:t>
      </w:r>
      <w:r>
        <w:t xml:space="preserve">, CNPJ 13.254.104/0001-74, é a controladora oficial dos dados.</w:t>
      </w:r>
    </w:p>
    <w:bookmarkEnd w:id="31"/>
    <w:bookmarkStart w:id="32" w:name="encarregado-pelo-tratamento-de-dados-dpo"/>
    <w:p>
      <w:pPr>
        <w:pStyle w:val="Heading3"/>
      </w:pPr>
      <w:r>
        <w:t xml:space="preserve">1.7. Encarregado pelo Tratamento de Dados (DPO)</w:t>
      </w:r>
    </w:p>
    <w:p>
      <w:pPr>
        <w:pStyle w:val="FirstParagraph"/>
      </w:pPr>
      <w:r>
        <w:t xml:space="preserve">A empresa deverá indicar formalmente um encarregado pelo tratamento dos dados para contato com os titulares, conforme art. 41 da LGPD.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ecfd2c3c56b9b0c1cb1701ecff570da502ab9f"/>
    <w:p>
      <w:pPr>
        <w:pStyle w:val="Heading2"/>
      </w:pPr>
      <w:r>
        <w:t xml:space="preserve">2. Relatório de Tratamento de Dados Pessoais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514"/>
        <w:gridCol w:w="221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Onde é Armazenado</w:t>
            </w:r>
          </w:p>
        </w:tc>
        <w:tc>
          <w:tcPr/>
          <w:p>
            <w:pPr>
              <w:pStyle w:val="Compact"/>
            </w:pPr>
            <w:r>
              <w:t xml:space="preserve">Quem Acessa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Nome, CPF, CNPJ</w:t>
            </w:r>
          </w:p>
        </w:tc>
        <w:tc>
          <w:tcPr/>
          <w:p>
            <w:pPr>
              <w:pStyle w:val="Compac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Admin /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Placas e rotas</w:t>
            </w:r>
          </w:p>
        </w:tc>
        <w:tc>
          <w:tcPr/>
          <w:p>
            <w:pPr>
              <w:pStyle w:val="Compact"/>
            </w:pPr>
            <w:r>
              <w:t xml:space="preserve">Logística</w:t>
            </w:r>
          </w:p>
        </w:tc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Arquivos PDF/PNG</w:t>
            </w:r>
          </w:p>
        </w:tc>
        <w:tc>
          <w:tcPr/>
          <w:p>
            <w:pPr>
              <w:pStyle w:val="Compact"/>
            </w:pPr>
            <w:r>
              <w:t xml:space="preserve">Comprovação</w:t>
            </w:r>
          </w:p>
        </w:tc>
        <w:tc>
          <w:tcPr/>
          <w:p>
            <w:pPr>
              <w:pStyle w:val="Compact"/>
            </w:pPr>
            <w:r>
              <w:t xml:space="preserve">Servidor</w:t>
            </w:r>
          </w:p>
        </w:tc>
        <w:tc>
          <w:tcPr/>
          <w:p>
            <w:pPr>
              <w:pStyle w:val="Compact"/>
            </w:pPr>
            <w:r>
              <w:t xml:space="preserve">Financeiro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e senha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Banco criptografado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</w:t>
            </w:r>
          </w:p>
        </w:tc>
        <w:tc>
          <w:tcPr/>
          <w:p>
            <w:pPr>
              <w:pStyle w:val="Compac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Usuários autorizados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termo-de-cessão-de-código-e-domínio"/>
    <w:p>
      <w:pPr>
        <w:pStyle w:val="Heading2"/>
      </w:pPr>
      <w:r>
        <w:t xml:space="preserve">3. Termo de Cessão de Código e Domínio</w:t>
      </w:r>
    </w:p>
    <w:p>
      <w:pPr>
        <w:pStyle w:val="FirstParagraph"/>
      </w:pPr>
      <w:r>
        <w:rPr>
          <w:b/>
          <w:bCs/>
        </w:rPr>
        <w:t xml:space="preserve">CEDENTE:</w:t>
      </w:r>
      <w:r>
        <w:t xml:space="preserve"> </w:t>
      </w:r>
      <w:r>
        <w:t xml:space="preserve">Renan Ferreira dos Santos</w:t>
      </w:r>
      <w:r>
        <w:br/>
      </w:r>
      <w:r>
        <w:rPr>
          <w:b/>
          <w:bCs/>
        </w:rPr>
        <w:t xml:space="preserve">CESSIONÁRIA:</w:t>
      </w:r>
      <w:r>
        <w:t xml:space="preserve"> </w:t>
      </w:r>
      <w:r>
        <w:t xml:space="preserve">Dellmar Transportes LTDA</w:t>
      </w:r>
      <w:r>
        <w:br/>
      </w:r>
      <w:r>
        <w:rPr>
          <w:b/>
          <w:bCs/>
        </w:rPr>
        <w:t xml:space="preserve">CNPJ:</w:t>
      </w:r>
      <w:r>
        <w:t xml:space="preserve"> </w:t>
      </w:r>
      <w:r>
        <w:t xml:space="preserve">13.254.104/0001-74</w:t>
      </w:r>
    </w:p>
    <w:p>
      <w:pPr>
        <w:pStyle w:val="BodyText"/>
      </w:pPr>
      <w:r>
        <w:t xml:space="preserve">Declaro que a plataforma</w:t>
      </w:r>
      <w:r>
        <w:t xml:space="preserve"> </w:t>
      </w:r>
      <w:r>
        <w:rPr>
          <w:b/>
          <w:bCs/>
        </w:rPr>
        <w:t xml:space="preserve">Dellmar Docs</w:t>
      </w:r>
      <w:r>
        <w:t xml:space="preserve">, desenvolvida de forma independente, incluindo:</w:t>
      </w:r>
    </w:p>
    <w:p>
      <w:pPr>
        <w:pStyle w:val="Compact"/>
        <w:numPr>
          <w:ilvl w:val="0"/>
          <w:numId w:val="1009"/>
        </w:numPr>
      </w:pPr>
      <w:r>
        <w:t xml:space="preserve">Código-fonte (backend em Python e frontend em React);</w:t>
      </w:r>
    </w:p>
    <w:p>
      <w:pPr>
        <w:pStyle w:val="Compact"/>
        <w:numPr>
          <w:ilvl w:val="0"/>
          <w:numId w:val="1009"/>
        </w:numPr>
      </w:pPr>
      <w:r>
        <w:t xml:space="preserve">Estrutura de banco de dados;</w:t>
      </w:r>
    </w:p>
    <w:p>
      <w:pPr>
        <w:pStyle w:val="Compact"/>
        <w:numPr>
          <w:ilvl w:val="0"/>
          <w:numId w:val="1009"/>
        </w:numPr>
      </w:pPr>
      <w:r>
        <w:t xml:space="preserve">Domínio</w:t>
      </w:r>
      <w:r>
        <w:t xml:space="preserve"> </w:t>
      </w:r>
      <w:r>
        <w:rPr>
          <w:b/>
          <w:bCs/>
        </w:rPr>
        <w:t xml:space="preserve">dellmardocs.com.br</w:t>
      </w:r>
      <w:r>
        <w:t xml:space="preserve">;</w:t>
      </w:r>
    </w:p>
    <w:p>
      <w:pPr>
        <w:pStyle w:val="FirstParagraph"/>
      </w:pPr>
      <w:r>
        <w:t xml:space="preserve">será cedida oficialmente à empresa</w:t>
      </w:r>
      <w:r>
        <w:t xml:space="preserve"> </w:t>
      </w:r>
      <w:r>
        <w:rPr>
          <w:b/>
          <w:bCs/>
        </w:rPr>
        <w:t xml:space="preserve">Dellmar Transportes LTDA</w:t>
      </w:r>
      <w:r>
        <w:t xml:space="preserve">, a partir desta data, passando a empresa a ser a</w:t>
      </w:r>
      <w:r>
        <w:t xml:space="preserve"> </w:t>
      </w:r>
      <w:r>
        <w:rPr>
          <w:b/>
          <w:bCs/>
        </w:rPr>
        <w:t xml:space="preserve">controladora legal da plataforma e dos dados tratados</w:t>
      </w:r>
      <w:r>
        <w:t xml:space="preserve">, conforme LGPD.</w:t>
      </w:r>
    </w:p>
    <w:p>
      <w:pPr>
        <w:pStyle w:val="BodyText"/>
      </w:pPr>
      <w:r>
        <w:t xml:space="preserve">O desenvolvedor passa a atuar como</w:t>
      </w:r>
      <w:r>
        <w:t xml:space="preserve"> </w:t>
      </w:r>
      <w:r>
        <w:rPr>
          <w:b/>
          <w:bCs/>
        </w:rPr>
        <w:t xml:space="preserve">Responsável Técnico (Operador)</w:t>
      </w:r>
      <w:r>
        <w:t xml:space="preserve">, mediante vínculo a ser formalizado.</w:t>
      </w:r>
    </w:p>
    <w:p>
      <w:pPr>
        <w:pStyle w:val="BodyText"/>
      </w:pPr>
      <w:r>
        <w:t xml:space="preserve">Local e data: _________________________________</w:t>
      </w:r>
    </w:p>
    <w:p>
      <w:pPr>
        <w:pStyle w:val="BodyText"/>
      </w:pPr>
      <w:r>
        <w:t xml:space="preserve">Assinatura do Desenvolvedor: _________________________________</w:t>
      </w:r>
    </w:p>
    <w:p>
      <w:pPr>
        <w:pStyle w:val="BodyText"/>
      </w:pPr>
      <w:r>
        <w:t xml:space="preserve">Assinatura da Empresa: _________________________________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responsabilidades-técnicas"/>
    <w:p>
      <w:pPr>
        <w:pStyle w:val="Heading2"/>
      </w:pPr>
      <w:r>
        <w:t xml:space="preserve">4. Responsabilidades Técnicas</w:t>
      </w:r>
    </w:p>
    <w:p>
      <w:pPr>
        <w:pStyle w:val="FirstParagraph"/>
      </w:pPr>
      <w:r>
        <w:t xml:space="preserve">A Dellmar Transportes LTDA é responsável por:</w:t>
      </w:r>
    </w:p>
    <w:p>
      <w:pPr>
        <w:pStyle w:val="Compact"/>
        <w:numPr>
          <w:ilvl w:val="0"/>
          <w:numId w:val="1010"/>
        </w:numPr>
      </w:pPr>
      <w:r>
        <w:t xml:space="preserve">Autorizar acessos</w:t>
      </w:r>
    </w:p>
    <w:p>
      <w:pPr>
        <w:pStyle w:val="Compact"/>
        <w:numPr>
          <w:ilvl w:val="0"/>
          <w:numId w:val="1010"/>
        </w:numPr>
      </w:pPr>
      <w:r>
        <w:t xml:space="preserve">Determinar finalidades dos dados</w:t>
      </w:r>
    </w:p>
    <w:p>
      <w:pPr>
        <w:pStyle w:val="Compact"/>
        <w:numPr>
          <w:ilvl w:val="0"/>
          <w:numId w:val="1010"/>
        </w:numPr>
      </w:pPr>
      <w:r>
        <w:t xml:space="preserve">Solicitar exclusão quando necessário</w:t>
      </w:r>
    </w:p>
    <w:p>
      <w:pPr>
        <w:pStyle w:val="Compact"/>
        <w:numPr>
          <w:ilvl w:val="0"/>
          <w:numId w:val="1010"/>
        </w:numPr>
      </w:pPr>
      <w:r>
        <w:t xml:space="preserve">Indicar o Encarregado (DPO)</w:t>
      </w:r>
    </w:p>
    <w:p>
      <w:pPr>
        <w:pStyle w:val="FirstParagraph"/>
      </w:pPr>
      <w:r>
        <w:t xml:space="preserve">O desenvolvedor é responsável por:</w:t>
      </w:r>
    </w:p>
    <w:p>
      <w:pPr>
        <w:pStyle w:val="Compact"/>
        <w:numPr>
          <w:ilvl w:val="0"/>
          <w:numId w:val="1011"/>
        </w:numPr>
      </w:pPr>
      <w:r>
        <w:t xml:space="preserve">Manutenção do sistema</w:t>
      </w:r>
    </w:p>
    <w:p>
      <w:pPr>
        <w:pStyle w:val="Compact"/>
        <w:numPr>
          <w:ilvl w:val="0"/>
          <w:numId w:val="1011"/>
        </w:numPr>
      </w:pPr>
      <w:r>
        <w:t xml:space="preserve">Segurança técnica</w:t>
      </w:r>
    </w:p>
    <w:p>
      <w:pPr>
        <w:pStyle w:val="Compact"/>
        <w:numPr>
          <w:ilvl w:val="0"/>
          <w:numId w:val="1011"/>
        </w:numPr>
      </w:pPr>
      <w:r>
        <w:t xml:space="preserve">Correções e melhorias</w:t>
      </w:r>
    </w:p>
    <w:p>
      <w:r>
        <w:pict>
          <v:rect style="width:0;height:1.5pt" o:hralign="center" o:hrstd="t" o:hr="t"/>
        </w:pict>
      </w:r>
    </w:p>
    <w:bookmarkEnd w:id="36"/>
    <w:bookmarkStart w:id="37" w:name="base-legal-do-tratamento-de-dados"/>
    <w:p>
      <w:pPr>
        <w:pStyle w:val="Heading2"/>
      </w:pPr>
      <w:r>
        <w:t xml:space="preserve">5. Base Legal do Tratamento de Dados</w:t>
      </w:r>
    </w:p>
    <w:p>
      <w:pPr>
        <w:pStyle w:val="FirstParagraph"/>
      </w:pPr>
      <w:r>
        <w:t xml:space="preserve">O tratamento dos dados pessoais pela plataforma Dellmar Docs é realizado com fundamento nas seguintes bases legais da LGPD:</w:t>
      </w:r>
    </w:p>
    <w:p>
      <w:pPr>
        <w:pStyle w:val="Compact"/>
        <w:numPr>
          <w:ilvl w:val="0"/>
          <w:numId w:val="1012"/>
        </w:numPr>
      </w:pPr>
      <w:r>
        <w:t xml:space="preserve">Execução de contrato (art. 7º, V)</w:t>
      </w:r>
    </w:p>
    <w:p>
      <w:pPr>
        <w:pStyle w:val="Compact"/>
        <w:numPr>
          <w:ilvl w:val="0"/>
          <w:numId w:val="1012"/>
        </w:numPr>
      </w:pPr>
      <w:r>
        <w:t xml:space="preserve">Cumprimento de obrigação legal e regulatória (art. 7º, II)</w:t>
      </w:r>
    </w:p>
    <w:p>
      <w:pPr>
        <w:pStyle w:val="Compact"/>
        <w:numPr>
          <w:ilvl w:val="0"/>
          <w:numId w:val="1012"/>
        </w:numPr>
      </w:pPr>
      <w:r>
        <w:t xml:space="preserve">Legítimo interesse do controlador (art. 7º, IX)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2025-12-07T21:52:56Z</dcterms:created>
  <dcterms:modified xsi:type="dcterms:W3CDTF">2025-12-07T21:52:56Z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