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CHAPITRE UN</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 Tu comptes vraiment y retourner ? demanda-t-elle sans lever les yeux.</w:t>
        <w:br/>
        <w:t>— Quelqu’un doit bien le faire, dit Marceau.</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CHAPITRE DEUX</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 Tu comptes vraiment y retourner ? demanda-t-elle sans lever les yeux.</w:t>
        <w:br/>
        <w:t>— Quelqu’un doit bien le faire, dit Marceau.</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CHAPITRE TROIS</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 Tu comptes vraiment y retourner ? demanda-t-elle sans lever les yeux.</w:t>
        <w:br/>
        <w:t>— Quelqu’un doit bien le faire, dit Marceau.</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Sans Titres</dc:title>
  <dc:subject/>
  <dc:creator>Antoine</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