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AC Groups-Create an AC Group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10.1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16,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16,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 AC group refers to any student organization in Austin College. A list of AC groups is stored in the system. Superusers and moderators could create, read, update, or deactivate AC groups.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   …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AC group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AC group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group Management Page includes User ID,  an AC group table, &amp; KPI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AC group Table includes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groups are listed by alphabetical Order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Sortable by columns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Filterable by keywords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Fields include: name, description (First 10 characters), total service hours,  contact name, contact phone number &amp; contact email 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AC group KPI Details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Top 10 AC groups with highest total service hours in the current year  (Bar Chart)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create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Presents an AC group creation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dialog includes the following editable fields: name(required), description(required),  contact name(required), contact phone number(required) &amp; contact email(required)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Enters information about an AC group and clicks on the save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Checks the validity of entered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Error: Stays on the creation dialog and show red marks on the error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Name variable should be unique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phone number should be a string of numbers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email should be a valid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12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Success: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the newly created AC group on the AC group information dialog.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a message to indicate that creation is successful.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U - Where there is an error in any editable field, Revises the error field and clicks on the save button -- Go to Step 8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Decides not to create a new AC group any more, clicks on the cancel button on the creation dialog.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Presents a confirmation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120" w:before="120" w:line="360" w:lineRule="auto"/>
              <w:ind w:left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YES button to cancel the creation process or clicks on No to stay on the creation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 AC group is created.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create AC groups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When the user enters invalid information, the system will show red marks on related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When the user wants to cancel the creation process, the user could click on the cancel button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Superusers and moderators have basic information about AC groups.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in UC01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8: See details about the AC group information dialog on UC 10.2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xb6g8rfy5b3u" w:id="1"/>
            <w:bookmarkEnd w:id="1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AC Groups-Read an AC Group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10.2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13,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13,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 AC group refers to any student organization in Austin College. A list of AC groups is stored in the system. Superusers and moderators could create, read, update, or deactivate AC groups.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AC group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AC group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U- Reads through the AC group table and clicks on one row to see details about a specific AC group.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AC group information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dialog contains the name of the AC group, a short description, contact name, contact phone number, contact email, and total service hours in the current year. In addition, an edit button and a deactivate button are presented.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Superusers and moderators could edit or deactivate the current AC group through buttons on the AC group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read information about AC groups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Critical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10.1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fs7im62ghuey" w:id="2"/>
            <w:bookmarkEnd w:id="2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AC Groups-Update an AC Group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10.3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 AC group refers to any student organization in Austin College. A list of AC groups is stored in the system. Superusers and moderators could create, read, update, or deactivate AC groups.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AC group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AC group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U- Clicks the edit button on a specific row on the AC group table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AC group edit dialog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The dialog includes the following editable fields: name(required), description(required),  contact name(required), contact phone number(required) &amp; contact email(required) 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Each field will show the saved data about the current AC group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Updates data as needed and clicks on the update button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Checks the validity of entered information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Error: Stays on the edit dialog and shows red marks on the error field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Name variable should be unique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phone number should be a string of numbers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Contact email should be a valid email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120" w:before="120" w:line="360" w:lineRule="auto"/>
              <w:ind w:left="720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Success: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the updated AC group on the AC group information dialog.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120" w:before="120" w:line="360" w:lineRule="auto"/>
              <w:ind w:left="1245" w:hanging="360"/>
              <w:contextualSpacing w:val="1"/>
              <w:jc w:val="both"/>
              <w:rPr>
                <w:rFonts w:ascii="Galdeano" w:cs="Galdeano" w:eastAsia="Galdeano" w:hAnsi="Galdeano"/>
                <w:color w:val="274e13"/>
                <w:sz w:val="20"/>
                <w:szCs w:val="20"/>
              </w:rPr>
            </w:pPr>
            <w:r w:rsidDel="00000000" w:rsidR="00000000" w:rsidRPr="00000000">
              <w:rPr>
                <w:color w:val="274e13"/>
                <w:rtl w:val="0"/>
              </w:rPr>
              <w:t xml:space="preserve">Presents a message to indicate that update is successful.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color w:val="660000"/>
                <w:sz w:val="20"/>
                <w:szCs w:val="20"/>
              </w:rPr>
            </w:pPr>
            <w:r w:rsidDel="00000000" w:rsidR="00000000" w:rsidRPr="00000000">
              <w:rPr>
                <w:color w:val="660000"/>
                <w:rtl w:val="0"/>
              </w:rPr>
              <w:t xml:space="preserve">U - Where there is an error in any editable field, revises the error field and clicks on the update button -- Go to Step 8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Decides not to update the current AC group any more: clicks on the cancel button on the edit dialog to cancel the edit process.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 Presents a confirmation box</w:t>
            </w:r>
          </w:p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YES button to cancel the edit process or clicks on No to stay on the edit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The current AC group is updated.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update information about AC groups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5.b U - Clicks on a specific row on the AC group table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S - Presents the AC group information dialog about the current AC group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U - Clicks on the edit button on the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When the user enters invalid information, the system will show red marks on related fields.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120" w:before="120" w:line="360" w:lineRule="auto"/>
              <w:ind w:left="345" w:hanging="360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When the user wants to cancel the edit process, the user could click on the cancel button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10.1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5.b : See details about the AC group information dialog on UC 09.2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8928.0" w:type="dxa"/>
        <w:jc w:val="left"/>
        <w:tblInd w:w="60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1"/>
        <w:gridCol w:w="7"/>
        <w:gridCol w:w="3260"/>
        <w:gridCol w:w="4300"/>
        <w:tblGridChange w:id="0">
          <w:tblGrid>
            <w:gridCol w:w="1361"/>
            <w:gridCol w:w="7"/>
            <w:gridCol w:w="3260"/>
            <w:gridCol w:w="430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Fonts w:ascii="Galdeano" w:cs="Galdeano" w:eastAsia="Galdeano" w:hAnsi="Galdeano"/>
                <w:b w:val="0"/>
                <w:color w:val="ffffff"/>
                <w:sz w:val="22"/>
                <w:szCs w:val="22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</w:pPr>
            <w:bookmarkStart w:colFirst="0" w:colLast="0" w:name="h.mw3vxoty730f" w:id="3"/>
            <w:bookmarkEnd w:id="3"/>
            <w:r w:rsidDel="00000000" w:rsidR="00000000" w:rsidRPr="00000000">
              <w:rPr>
                <w:rFonts w:ascii="Galdeano" w:cs="Galdeano" w:eastAsia="Galdeano" w:hAnsi="Galdeano"/>
                <w:b w:val="0"/>
                <w:color w:val="efefef"/>
                <w:sz w:val="22"/>
                <w:szCs w:val="22"/>
                <w:rtl w:val="0"/>
              </w:rPr>
              <w:t xml:space="preserve">Manage AC Groups - Deactivate an AC Group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 10.4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Change Control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Created By (date / author): 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Updated By (date/author):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Mar. 15, 2016 / Zixian Chai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: Superusers, Moderators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Secondary : 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Brief Description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An AC group refers to any student organization in Austin College. A list of AC groups is stored in the system. Superusers and moderators could create, read, update, or deactivate AC groups.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Manually through GUI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Authorization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 Acceptance Script / Sequence of Events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User(U) - Authenticates and logs in to application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System(S) - Presents the landing page for user based on role.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AC group button on the navigation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the AC group management page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 - Clicks on the deactivate button at a specific row on the AC group table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120" w:before="120" w:line="360" w:lineRule="auto"/>
              <w:ind w:left="341.66666666666663" w:hanging="360.00000000000034"/>
              <w:contextualSpacing w:val="1"/>
              <w:jc w:val="both"/>
              <w:rPr>
                <w:rFonts w:ascii="Galdeano" w:cs="Galdeano" w:eastAsia="Galdeano" w:hAnsi="Galdean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 - Presents a confirmation box.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274e13"/>
                <w:rtl w:val="0"/>
              </w:rPr>
              <w:t xml:space="preserve">7.a U - Clicks on the OK button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274e13"/>
                <w:rtl w:val="0"/>
              </w:rPr>
              <w:t xml:space="preserve">8.a S - Deactivates the current AC group and presents a message to indicate the deactivation is successful.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660000"/>
                <w:rtl w:val="0"/>
              </w:rPr>
              <w:t xml:space="preserve">7.b  U - Clicks on the CANCEL button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color w:val="660000"/>
                <w:rtl w:val="0"/>
              </w:rPr>
              <w:t xml:space="preserve">8.b  S - Hides the confirmation box.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 Conditions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specific AC group is deactivated.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Only superusers and moderators could deactivate AC groups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Alternate Flows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5.b U - Clicks on a specific row on the AC group table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S - Presents the AC group information dialog about the current AC group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U - Clicks on the deactivate button on the information dialog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If users decides not to deactivate the selected AC group, users could click on the CANCEL button on the confirmation box.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360" w:lineRule="auto"/>
              <w:ind w:left="34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Deactivated AC groups could still be read by moderators and superusers.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360" w:lineRule="auto"/>
              <w:ind w:left="34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Deactivated AC groups could not be used in the service record creation process and could not be edited any more.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line="360" w:lineRule="auto"/>
              <w:ind w:left="34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Deactivated AC groups will not influence KPI.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bookmarkStart w:colFirst="0" w:colLast="0" w:name="h.gjdgxs" w:id="0"/>
            <w:bookmarkEnd w:id="0"/>
            <w:r w:rsidDel="00000000" w:rsidR="00000000" w:rsidRPr="00000000">
              <w:rPr>
                <w:rtl w:val="0"/>
              </w:rPr>
              <w:t xml:space="preserve">Nice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Reference Use Cases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1, 2: See details on UC 01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3, 4: See details on UC 10.1</w:t>
            </w:r>
          </w:p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Step 5.b: See details about the AC group information dialog on UC 09.2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Contact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120" w:before="120" w:line="36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Nancy Morgan (nmorgan@austincollege.edu)</w:t>
            </w:r>
          </w:p>
        </w:tc>
      </w:tr>
    </w:tbl>
    <w:p w:rsidR="00000000" w:rsidDel="00000000" w:rsidP="00000000" w:rsidRDefault="00000000" w:rsidRPr="00000000">
      <w:pPr>
        <w:spacing w:after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aldea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2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3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  <w:style w:type="table" w:styleId="Table4">
    <w:basedOn w:val="TableNormal"/>
    <w:pPr>
      <w:spacing w:after="120" w:before="120" w:lineRule="auto"/>
    </w:pPr>
    <w:rPr>
      <w:rFonts w:ascii="Galdeano" w:cs="Galdeano" w:eastAsia="Galdeano" w:hAnsi="Galdeano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f2f2"/>
    </w:tc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rFonts w:ascii="Arial" w:cs="Arial" w:eastAsia="Arial" w:hAnsi="Arial"/>
        <w:b w:val="1"/>
        <w:sz w:val="20"/>
        <w:szCs w:val="20"/>
      </w:rPr>
      <w:tcPr>
        <w:shd w:fill="00a1e4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neCell"/>
    <w:tblStylePr w:type="nwCell">
      <w:pPr>
        <w:contextualSpacing w:val="1"/>
      </w:pPr>
      <w:rPr/>
      <w:tcPr>
        <w:shd w:fill="00a8dd"/>
        <w:tcMar>
          <w:left w:w="115.0" w:type="dxa"/>
          <w:right w:w="115.0" w:type="dxa"/>
        </w:tcMar>
      </w:tcPr>
    </w:tblStylePr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