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Fonts w:ascii="Galdeano" w:cs="Galdeano" w:eastAsia="Galdeano" w:hAnsi="Galdeano"/>
          <w:sz w:val="20"/>
          <w:szCs w:val="20"/>
          <w:rtl w:val="0"/>
        </w:rPr>
        <w:t xml:space="preserve"> </w:t>
      </w:r>
    </w:p>
    <w:tbl>
      <w:tblPr>
        <w:tblStyle w:val="Table1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ffffff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wcy23mxf396" w:id="0"/>
            <w:bookmarkEnd w:id="0"/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Update Students-Add New Students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12.1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14, 2016/Zixian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14, 2016/Zixian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Changes in student population happen every semester. At the beginning of each semester, the superuser or moderators could update the student database to get the latest data.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(U) - Authenticates and logs in to application.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(S) - Presents the landing page for user based on role.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the Student update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student update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 update page includes a filterable table of current students, an “add new students” button, and a “delete graduated students”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student table includes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Students are listed by alphabetical Order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Sortable by columns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Filterable by keywords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Fields include: name, AC ID, classification, email, and total service hours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Obtains a file about new students.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360" w:lineRule="auto"/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file includes the following details: name(required), AC ID(required), classification(required), email(required), phone number, mail box.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“add new students”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a file drop in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Uploads the new student information file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Checks the validity of information in the file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Possible Errors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 variable should not contain special characters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ID should be unique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Email should be a valid unique 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Phone number should be a string of numbers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Mail box should be a string of numbers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Adds students with valid information and presents an error message to indicate students with invalid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Uploads a new file for remaining new students with valid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 database is updated.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 KPI are updated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update students.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could obtain a report about new students.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could not be edited.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1"/>
            <w:bookmarkEnd w:id="1"/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in Uc01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ffffff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kwwkabobmp7m" w:id="2"/>
            <w:bookmarkEnd w:id="2"/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Update Students-Delete Graduated Students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12.2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14, 2016/Zixian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14, 2016/Zixian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Changes in student population happen every semester. At the beginning of each semester, the superuser or moderators could update the student database to get the latest data.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(U) - Authenticates and logs in to application.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(S) - Presents the landing page for user based on role.  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the Student update button.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student update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a student creation dialog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the “Delete graduated students”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Deletes students who had graduated for more than ten years and presents a message to indicate that deletion is successful.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Student database is updated.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 KPI are updated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Students who had graduated more than 10 years will be deleted from the database.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1"/>
            <w:bookmarkEnd w:id="1"/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in Uc01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aldea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  <w:style w:type="table" w:styleId="Table2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