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Ott &amp; Longnecker</w:t>
      </w:r>
      <w:bookmarkEnd w:id="0"/>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683C8D">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683C8D">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683C8D">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683C8D">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683C8D">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683C8D">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683C8D">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683C8D">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683C8D">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683C8D">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683C8D">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683C8D">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683C8D">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683C8D">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683C8D">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683C8D">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683C8D">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683C8D">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683C8D">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683C8D">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683C8D">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683C8D">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683C8D">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683C8D">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683C8D">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683C8D">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r>
        <w:t>Mutiple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r>
        <w:rPr>
          <w:rFonts w:eastAsiaTheme="minorEastAsia"/>
          <w:i/>
          <w:iCs/>
        </w:rPr>
        <w:t>x,</w:t>
      </w:r>
      <w:r>
        <w:rPr>
          <w:rFonts w:eastAsiaTheme="minorEastAsia"/>
        </w:rPr>
        <w:t xml:space="preserve">y)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occurs+the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r>
        <w:rPr>
          <w:rFonts w:eastAsiaTheme="minorEastAsia" w:cstheme="minorHAnsi"/>
        </w:rPr>
        <w:t>µ</w:t>
      </w:r>
      <w:r>
        <w:rPr>
          <w:rFonts w:eastAsiaTheme="minorEastAsia"/>
        </w:rPr>
        <w:t>,</w:t>
      </w:r>
      <w:r>
        <w:rPr>
          <w:rFonts w:eastAsiaTheme="minorEastAsia" w:cstheme="minorHAnsi"/>
        </w:rPr>
        <w:t>σ</w:t>
      </w:r>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F9454F">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F9454F">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F9454F">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bookmarkStart w:id="27" w:name="_GoBack"/>
      <w:bookmarkEnd w:id="27"/>
    </w:p>
    <w:p w14:paraId="61F16395" w14:textId="3975BCF4" w:rsidR="00DF2769" w:rsidRDefault="00DF2769" w:rsidP="00F9454F">
      <w:pPr>
        <w:pStyle w:val="ListParagraph"/>
        <w:numPr>
          <w:ilvl w:val="0"/>
          <w:numId w:val="2"/>
        </w:numPr>
      </w:pPr>
      <w:r>
        <w:rPr>
          <w:b/>
          <w:bCs/>
        </w:rPr>
        <w:t xml:space="preserve">Central Limit Theorem: </w:t>
      </w:r>
      <w:r>
        <w:t xml:space="preserve">provide theoretical justification for approximating the true sampling distribution of many sample statistics with the normal distribution. </w:t>
      </w:r>
    </w:p>
    <w:p w14:paraId="74DEA372" w14:textId="77777777" w:rsidR="00683C8D" w:rsidRDefault="00683C8D" w:rsidP="00F9454F">
      <w:pPr>
        <w:pStyle w:val="ListParagraph"/>
        <w:numPr>
          <w:ilvl w:val="0"/>
          <w:numId w:val="2"/>
        </w:numPr>
      </w:pPr>
    </w:p>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75461-1C04-4D5F-8C25-42902D90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7470</TotalTime>
  <Pages>13</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546</cp:revision>
  <dcterms:created xsi:type="dcterms:W3CDTF">2020-01-02T13:32:00Z</dcterms:created>
  <dcterms:modified xsi:type="dcterms:W3CDTF">2020-02-14T15:39:00Z</dcterms:modified>
</cp:coreProperties>
</file>