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Ott &amp; Longnecker</w:t>
      </w:r>
      <w:bookmarkEnd w:id="0"/>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C45BB0">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C45BB0">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C45BB0">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C45BB0">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C45BB0">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C45BB0">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C45BB0">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C45BB0">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C45BB0">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C45BB0">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C45BB0">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C45BB0">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C45BB0">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C45BB0">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C45BB0">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C45BB0">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C45BB0">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C45BB0">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C45BB0">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C45BB0">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C45BB0">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C45BB0">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C45BB0">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C45BB0">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C45BB0">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C45BB0">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r>
        <w:t>Mutiple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r>
        <w:rPr>
          <w:rFonts w:eastAsiaTheme="minorEastAsia"/>
          <w:i/>
          <w:iCs/>
        </w:rPr>
        <w:t>x,</w:t>
      </w:r>
      <w:r>
        <w:rPr>
          <w:rFonts w:eastAsiaTheme="minorEastAsia"/>
        </w:rPr>
        <w:t xml:space="preserve">y)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occurs+the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6547B356" w:rsidR="006B11C4" w:rsidRP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‘qnorm(z,</w:t>
      </w:r>
      <w:r>
        <w:rPr>
          <w:rFonts w:eastAsiaTheme="minorEastAsia" w:cstheme="minorHAnsi"/>
        </w:rPr>
        <w:t>µ</w:t>
      </w:r>
      <w:r>
        <w:rPr>
          <w:rFonts w:eastAsiaTheme="minorEastAsia"/>
        </w:rPr>
        <w:t>,</w:t>
      </w:r>
      <w:r>
        <w:rPr>
          <w:rFonts w:eastAsiaTheme="minorEastAsia" w:cstheme="minorHAnsi"/>
        </w:rPr>
        <w:t>σ</w:t>
      </w:r>
      <w:r>
        <w:rPr>
          <w:rFonts w:eastAsiaTheme="minorEastAsia"/>
        </w:rPr>
        <w:t>)’</w:t>
      </w:r>
      <w:bookmarkStart w:id="27" w:name="_GoBack"/>
      <w:bookmarkEnd w:id="27"/>
    </w:p>
    <w:sectPr w:rsidR="006B11C4" w:rsidRPr="006B1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518A7-EA1A-49A6-8503-E4E0B808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7428</TotalTime>
  <Pages>1</Pages>
  <Words>4067</Words>
  <Characters>23185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538</cp:revision>
  <dcterms:created xsi:type="dcterms:W3CDTF">2020-01-02T13:32:00Z</dcterms:created>
  <dcterms:modified xsi:type="dcterms:W3CDTF">2020-02-06T13:15:00Z</dcterms:modified>
</cp:coreProperties>
</file>