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sz w:val="4"/>
          <w:szCs w:val="4"/>
        </w:rPr>
        <w:t xml:space="preserve"/>
      </w:r>
    </w:p>
    <w:p>
      <w:pPr>
        <w:spacing w:after="120" w:before="0"/>
        <w:jc w:val="center"/>
      </w:pPr>
      <w:r>
        <w:rPr>
          <w:rFonts w:ascii="Arial" w:cs="Arial" w:eastAsia="Arial" w:hAnsi="Arial"/>
          <w:b/>
          <w:bCs/>
          <w:i w:val="false"/>
          <w:iCs w:val="false"/>
          <w:color w:val="1a3a5c"/>
          <w:sz w:val="22"/>
          <w:szCs w:val="22"/>
        </w:rPr>
        <w:t xml:space="preserve">UNIVERSIDADE FEDERAL RURAL DE PERNAMBUCO</w:t>
      </w:r>
    </w:p>
    <w:p>
      <w:pPr>
        <w:spacing w:after="120" w:before="0"/>
        <w:jc w:val="center"/>
      </w:pPr>
      <w:r>
        <w:rPr>
          <w:rFonts w:ascii="Arial" w:cs="Arial" w:eastAsia="Arial" w:hAnsi="Arial"/>
          <w:b w:val="false"/>
          <w:bCs w:val="false"/>
          <w:i/>
          <w:iCs/>
          <w:color w:val="444444"/>
          <w:sz w:val="20"/>
          <w:szCs w:val="20"/>
        </w:rPr>
        <w:t xml:space="preserve">Bacharelado em Sistemas de Informação</w:t>
      </w:r>
    </w:p>
    <w:p>
      <w:pPr>
        <w:spacing w:after="120" w:before="0"/>
        <w:jc w:val="center"/>
      </w:pPr>
      <w:r>
        <w:rPr>
          <w:rFonts w:ascii="Arial" w:cs="Arial" w:eastAsia="Arial" w:hAnsi="Arial"/>
          <w:b w:val="false"/>
          <w:bCs w:val="false"/>
          <w:i/>
          <w:iCs/>
          <w:color w:val="444444"/>
          <w:sz w:val="20"/>
          <w:szCs w:val="20"/>
        </w:rPr>
        <w:t xml:space="preserve">Disciplina: Princípios de Programação</w:t>
      </w:r>
    </w:p>
    <w:p>
      <w:pPr>
        <w:spacing w:after="600" w:before="0"/>
      </w:pPr>
      <w:r>
        <w:rPr>
          <w:sz w:val="4"/>
          <w:szCs w:val="4"/>
        </w:rPr>
        <w:t xml:space="preserve"/>
      </w:r>
    </w:p>
    <w:p>
      <w:pPr>
        <w:pBdr>
          <w:bottom w:val="single" w:color="2c5f8a" w:sz="4" w:space="1"/>
        </w:pBdr>
        <w:spacing w:after="120" w:before="120"/>
      </w:pPr>
      <w:r>
        <w:rPr>
          <w:rFonts w:ascii="Arial" w:cs="Arial" w:eastAsia="Arial" w:hAnsi="Arial"/>
          <w:sz w:val="4"/>
          <w:szCs w:val="4"/>
        </w:rPr>
        <w:t xml:space="preserve"/>
      </w:r>
    </w:p>
    <w:p>
      <w:pPr>
        <w:spacing w:after="400" w:before="0"/>
      </w:pPr>
      <w:r>
        <w:rPr>
          <w:sz w:val="4"/>
          <w:szCs w:val="4"/>
        </w:rPr>
        <w:t xml:space="preserve"/>
      </w:r>
    </w:p>
    <w:p>
      <w:pPr>
        <w:spacing w:after="80" w:before="0"/>
        <w:jc w:val="center"/>
      </w:pPr>
      <w:r>
        <w:rPr>
          <w:rFonts w:ascii="Arial" w:cs="Arial" w:eastAsia="Arial" w:hAnsi="Arial"/>
          <w:b/>
          <w:bCs/>
          <w:i w:val="false"/>
          <w:iCs w:val="false"/>
          <w:color w:val="1a3a5c"/>
          <w:sz w:val="56"/>
          <w:szCs w:val="56"/>
        </w:rPr>
        <w:t xml:space="preserve">EpiSim Pro</w:t>
      </w:r>
    </w:p>
    <w:p>
      <w:pPr>
        <w:spacing w:after="200" w:before="0"/>
        <w:jc w:val="center"/>
      </w:pPr>
      <w:r>
        <w:rPr>
          <w:rFonts w:ascii="Arial" w:cs="Arial" w:eastAsia="Arial" w:hAnsi="Arial"/>
          <w:b w:val="false"/>
          <w:bCs w:val="false"/>
          <w:i/>
          <w:iCs/>
          <w:color w:val="2c5f8a"/>
          <w:sz w:val="28"/>
          <w:szCs w:val="28"/>
        </w:rPr>
        <w:t xml:space="preserve">Plataforma Computacional de Modelagem e Previsão Epidemiológica</w:t>
      </w:r>
    </w:p>
    <w:p>
      <w:pPr>
        <w:pBdr>
          <w:bottom w:val="single" w:color="2c5f8a" w:sz="4" w:space="1"/>
        </w:pBdr>
        <w:spacing w:after="120" w:before="120"/>
      </w:pPr>
      <w:r>
        <w:rPr>
          <w:rFonts w:ascii="Arial" w:cs="Arial" w:eastAsia="Arial" w:hAnsi="Arial"/>
          <w:sz w:val="4"/>
          <w:szCs w:val="4"/>
        </w:rPr>
        <w:t xml:space="preserve"/>
      </w:r>
    </w:p>
    <w:p>
      <w:pPr>
        <w:spacing w:after="400" w:before="0"/>
      </w:pPr>
      <w:r>
        <w:rPr>
          <w:sz w:val="4"/>
          <w:szCs w:val="4"/>
        </w:rPr>
        <w:t xml:space="preserve"/>
      </w:r>
    </w:p>
    <w:p>
      <w:pPr>
        <w:spacing w:after="120" w:before="0"/>
        <w:jc w:val="center"/>
      </w:pPr>
      <w:r>
        <w:rPr>
          <w:rFonts w:ascii="Arial" w:cs="Arial" w:eastAsia="Arial" w:hAnsi="Arial"/>
          <w:b w:val="false"/>
          <w:bCs w:val="false"/>
          <w:i w:val="false"/>
          <w:iCs w:val="false"/>
          <w:color w:val="333333"/>
          <w:sz w:val="22"/>
          <w:szCs w:val="22"/>
        </w:rPr>
        <w:t xml:space="preserve">Renato Rodrigues Barbosa Filho</w:t>
      </w:r>
    </w:p>
    <w:p>
      <w:pPr>
        <w:spacing w:after="120" w:before="0"/>
        <w:jc w:val="center"/>
      </w:pPr>
      <w:r>
        <w:rPr>
          <w:rFonts w:ascii="Arial" w:cs="Arial" w:eastAsia="Arial" w:hAnsi="Arial"/>
          <w:b w:val="false"/>
          <w:bCs w:val="false"/>
          <w:i/>
          <w:iCs/>
          <w:color w:val="666666"/>
          <w:sz w:val="20"/>
          <w:szCs w:val="20"/>
        </w:rPr>
        <w:t xml:space="preserve">Orientador: Prof. Jones Albuquerque</w:t>
      </w:r>
    </w:p>
    <w:p>
      <w:pPr>
        <w:spacing w:after="200" w:before="0"/>
      </w:pPr>
      <w:r>
        <w:rPr>
          <w:sz w:val="4"/>
          <w:szCs w:val="4"/>
        </w:rPr>
        <w:t xml:space="preserve"/>
      </w:r>
    </w:p>
    <w:p>
      <w:pPr>
        <w:spacing w:after="120" w:before="0"/>
        <w:jc w:val="center"/>
      </w:pPr>
      <w:r>
        <w:rPr>
          <w:rFonts w:ascii="Arial" w:cs="Arial" w:eastAsia="Arial" w:hAnsi="Arial"/>
          <w:b w:val="false"/>
          <w:bCs w:val="false"/>
          <w:i w:val="false"/>
          <w:iCs w:val="false"/>
          <w:color w:val="666666"/>
          <w:sz w:val="20"/>
          <w:szCs w:val="20"/>
        </w:rPr>
        <w:t xml:space="preserve">Recife, Pernambuco — 2025</w:t>
      </w:r>
    </w:p>
    <w:p>
      <w:pPr>
        <w:spacing w:after="1200" w:before="0"/>
      </w:pPr>
      <w:r>
        <w:rPr>
          <w:sz w:val="4"/>
          <w:szCs w:val="4"/>
        </w:rPr>
        <w:t xml:space="preserve"/>
      </w:r>
    </w:p>
    <w:p>
      <w:r>
        <w:br w:type="page"/>
      </w:r>
    </w:p>
    <w:p>
      <w:pPr>
        <w:pStyle w:val="Heading1"/>
        <w:spacing w:after="160" w:before="320"/>
      </w:pPr>
      <w:r>
        <w:rPr>
          <w:rFonts w:ascii="Arial" w:cs="Arial" w:eastAsia="Arial" w:hAnsi="Arial"/>
          <w:b/>
          <w:bCs/>
          <w:color w:val="1a3a5c"/>
          <w:sz w:val="28"/>
          <w:szCs w:val="28"/>
        </w:rPr>
        <w:t xml:space="preserve">Resumo</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 presente artigo descreve o desenvolvimento do EpiSim Pro, uma plataforma computacional interativa de modelagem e previsão epidemiológica voltada para a simulação de doenças infecciosas em populações. O sistema implementa modelos compartimentais validados pela literatura científica — SIR (Suscetível-Infeccioso-Recuperado), SEIRS (Suscetível-Exposto-Infeccioso-Recuperado-Suscetível) e SEIRD+V (Suscetível-Exposto-Infeccioso-Recuperado-Hospitalizado-Morto-Vacinado) — resolvidos numericamente por meio do método de Runge-Kutta de quarta ordem (RK4). A plataforma oferece controles de 15 parâmetros epidemiológicos em tempo real, análise de incerteza via Simulação de Monte Carlo (n=80), estratificação etária sintética por curvas de taxa de infecção-fatalidade (IFR), comparação lateral de cenários, análise de estresse hospitalar e exportação de dados em formato CSV. Desenvolvida em React com Recharts, a aplicação executa inteiramente no lado do cliente, sem necessidade de backend. O EpiSim Pro foi publicado no repositório público GitHub e representa uma contribuição relevante para pesquisa, ensino e suporte à tomada de decisão em saúde pública.</w:t>
      </w:r>
    </w:p>
    <w:p>
      <w:pPr>
        <w:spacing w:after="100" w:before="0"/>
      </w:pPr>
      <w:r>
        <w:rPr>
          <w:sz w:val="4"/>
          <w:szCs w:val="4"/>
        </w:rPr>
        <w:t xml:space="preserve"/>
      </w:r>
    </w:p>
    <w:p>
      <w:pPr>
        <w:spacing w:after="160" w:before="0" w:line="276"/>
        <w:jc w:val="both"/>
      </w:pPr>
      <w:r>
        <w:rPr>
          <w:rFonts w:ascii="Arial" w:cs="Arial" w:eastAsia="Arial" w:hAnsi="Arial"/>
          <w:b/>
          <w:bCs/>
          <w:i w:val="false"/>
          <w:iCs w:val="false"/>
          <w:color w:val="000000"/>
          <w:sz w:val="22"/>
          <w:szCs w:val="22"/>
        </w:rPr>
        <w:t xml:space="preserve">Palavras-chave: </w:t>
      </w:r>
      <w:r>
        <w:rPr>
          <w:rFonts w:ascii="Arial" w:cs="Arial" w:eastAsia="Arial" w:hAnsi="Arial"/>
          <w:b w:val="false"/>
          <w:bCs w:val="false"/>
          <w:i w:val="false"/>
          <w:iCs w:val="false"/>
          <w:color w:val="000000"/>
          <w:sz w:val="22"/>
          <w:szCs w:val="22"/>
        </w:rPr>
        <w:t xml:space="preserve">Epidemiologia computacional; Modelo SEIRD+V; Runge-Kutta; Monte Carlo; React; Saúde Pública; Modelagem de doenças infecciosas.</w:t>
      </w:r>
    </w:p>
    <w:p>
      <w:pPr>
        <w:spacing w:after="200" w:before="0"/>
      </w:pPr>
      <w:r>
        <w:rPr>
          <w:sz w:val="4"/>
          <w:szCs w:val="4"/>
        </w:rPr>
        <w:t xml:space="preserve"/>
      </w:r>
    </w:p>
    <w:p>
      <w:pPr>
        <w:pStyle w:val="Heading1"/>
        <w:spacing w:after="160" w:before="320"/>
      </w:pPr>
      <w:r>
        <w:rPr>
          <w:rFonts w:ascii="Arial" w:cs="Arial" w:eastAsia="Arial" w:hAnsi="Arial"/>
          <w:b/>
          <w:bCs/>
          <w:color w:val="1a3a5c"/>
          <w:sz w:val="28"/>
          <w:szCs w:val="28"/>
        </w:rPr>
        <w:t xml:space="preserve">Abstract</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This paper describes the development of EpiSim Pro, an interactive computational platform for epidemic modeling and forecasting of infectious diseases in populations. The system implements compartmental models validated by the scientific literature — SIR, SEIRS, and SEIRD+V — numerically integrated using the fourth-order Runge-Kutta (RK4) method. The platform offers real-time control over 15 epidemiological parameters, uncertainty analysis via Monte Carlo simulation (n=80), synthetic age stratification using infection fatality rate (IFR) curves, side-by-side scenario comparison, hospital stress analysis, and CSV data export. Built with React and Recharts, the application runs entirely client-side with no backend required. EpiSim Pro has been published to a public GitHub repository and represents a meaningful contribution to research, education, and public health decision support.</w:t>
      </w:r>
    </w:p>
    <w:p>
      <w:pPr>
        <w:spacing w:after="100" w:before="0"/>
      </w:pPr>
      <w:r>
        <w:rPr>
          <w:sz w:val="4"/>
          <w:szCs w:val="4"/>
        </w:rPr>
        <w:t xml:space="preserve"/>
      </w:r>
    </w:p>
    <w:p>
      <w:pPr>
        <w:spacing w:after="160" w:before="0" w:line="276"/>
        <w:jc w:val="both"/>
      </w:pPr>
      <w:r>
        <w:rPr>
          <w:rFonts w:ascii="Arial" w:cs="Arial" w:eastAsia="Arial" w:hAnsi="Arial"/>
          <w:b/>
          <w:bCs/>
          <w:i w:val="false"/>
          <w:iCs w:val="false"/>
          <w:color w:val="000000"/>
          <w:sz w:val="22"/>
          <w:szCs w:val="22"/>
        </w:rPr>
        <w:t xml:space="preserve">Keywords: </w:t>
      </w:r>
      <w:r>
        <w:rPr>
          <w:rFonts w:ascii="Arial" w:cs="Arial" w:eastAsia="Arial" w:hAnsi="Arial"/>
          <w:b w:val="false"/>
          <w:bCs w:val="false"/>
          <w:i w:val="false"/>
          <w:iCs w:val="false"/>
          <w:color w:val="000000"/>
          <w:sz w:val="22"/>
          <w:szCs w:val="22"/>
        </w:rPr>
        <w:t xml:space="preserve">Computational epidemiology; SEIRD+V model; Runge-Kutta; Monte Carlo; React; Public Health; Infectious disease modeling.</w:t>
      </w:r>
    </w:p>
    <w:p>
      <w:pPr>
        <w:spacing w:after="200" w:before="0"/>
      </w:pPr>
      <w:r>
        <w:rPr>
          <w:sz w:val="4"/>
          <w:szCs w:val="4"/>
        </w:rPr>
        <w:t xml:space="preserve"/>
      </w:r>
    </w:p>
    <w:p>
      <w:r>
        <w:br w:type="page"/>
      </w:r>
    </w:p>
    <w:p>
      <w:pPr>
        <w:pStyle w:val="Heading1"/>
        <w:spacing w:after="160" w:before="320"/>
      </w:pPr>
      <w:r>
        <w:rPr>
          <w:rFonts w:ascii="Arial" w:cs="Arial" w:eastAsia="Arial" w:hAnsi="Arial"/>
          <w:b/>
          <w:bCs/>
          <w:color w:val="1a3a5c"/>
          <w:sz w:val="28"/>
          <w:szCs w:val="28"/>
        </w:rPr>
        <w:t xml:space="preserve">1. Introdução</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A modelagem matemática de doenças infecciosas constitui uma das mais antigas e robustas ferramentas da epidemiologia quantitativa. Desde os trabalhos pioneiros de Kermack e McKendrick (1927), que formalizaram o modelo SIR (Suscetível-Infeccioso-Recuperado), a área evoluiu substancialmente, incorporando compartimentos adicionais, heterogeneidades populacionais, dinâmicas de vacinação e reinfecção, e técnicas modernas de inferência estatística bayesiana.</w:t>
      </w:r>
    </w:p>
    <w:p>
      <w:pPr>
        <w:spacing w:after="160" w:before="0" w:line="276"/>
        <w:jc w:val="both"/>
      </w:pPr>
      <w:r>
        <w:rPr>
          <w:rFonts w:ascii="Arial" w:cs="Arial" w:eastAsia="Arial" w:hAnsi="Arial"/>
          <w:b w:val="false"/>
          <w:bCs w:val="false"/>
          <w:i w:val="false"/>
          <w:iCs w:val="false"/>
          <w:color w:val="000000"/>
          <w:sz w:val="22"/>
          <w:szCs w:val="22"/>
        </w:rPr>
        <w:t xml:space="preserve">A pandemia de COVID-19 (2020–2023) reacendeu o interesse global em ferramentas acessíveis de simulação epidemiológica. Plataformas como a IRRD COVID-19 Epidemic Calculator, o modelo SEIR do Imperial College London e o CovidSim demonstraram o impacto que simuladores computacionais bem construídos podem ter sobre políticas públicas de saúde, planejamento hospitalar e comunicação científica com a sociedade.</w:t>
      </w:r>
    </w:p>
    <w:p>
      <w:pPr>
        <w:spacing w:after="160" w:before="0" w:line="276"/>
        <w:jc w:val="both"/>
      </w:pPr>
      <w:r>
        <w:rPr>
          <w:rFonts w:ascii="Arial" w:cs="Arial" w:eastAsia="Arial" w:hAnsi="Arial"/>
          <w:b w:val="false"/>
          <w:bCs w:val="false"/>
          <w:i w:val="false"/>
          <w:iCs w:val="false"/>
          <w:color w:val="000000"/>
          <w:sz w:val="22"/>
          <w:szCs w:val="22"/>
        </w:rPr>
        <w:t xml:space="preserve">Entretanto, a maioria das ferramentas disponíveis é desenvolvida em linguagens de uso restrito (Python, R, MATLAB), requer instalação de dependências complexas, ou é proprietária e de difícil acesso. Isso cria uma barreira significativa para educadores, estudantes de saúde pública e gestores municipais que necessitam de instrumentos interativos, intuitivos e reprodutíveis.</w:t>
      </w:r>
    </w:p>
    <w:p>
      <w:pPr>
        <w:spacing w:after="160" w:before="0" w:line="276"/>
        <w:jc w:val="both"/>
      </w:pPr>
      <w:r>
        <w:rPr>
          <w:rFonts w:ascii="Arial" w:cs="Arial" w:eastAsia="Arial" w:hAnsi="Arial"/>
          <w:b w:val="false"/>
          <w:bCs w:val="false"/>
          <w:i w:val="false"/>
          <w:iCs w:val="false"/>
          <w:color w:val="000000"/>
          <w:sz w:val="22"/>
          <w:szCs w:val="22"/>
        </w:rPr>
        <w:t xml:space="preserve">Nesse contexto, o EpiSim Pro foi concebido como uma plataforma web de código aberto, cientificamente rigorosa e acessível diretamente pelo navegador, sem necessidade de instalação. O sistema implementa modelos compartimentais clássicos e estendidos, solucionados por integração numérica de alta precisão, e oferece visualizações interativas adequadas tanto para uso acadêmico quanto para suporte à tomada de decisão em saúde pública.</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1.1 Objetivos</w:t>
      </w:r>
    </w:p>
    <w:p>
      <w:pPr>
        <w:spacing w:after="160" w:before="0" w:line="276"/>
        <w:jc w:val="both"/>
      </w:pPr>
      <w:r>
        <w:rPr>
          <w:rFonts w:ascii="Arial" w:cs="Arial" w:eastAsia="Arial" w:hAnsi="Arial"/>
          <w:b/>
          <w:bCs/>
          <w:i w:val="false"/>
          <w:iCs w:val="false"/>
          <w:color w:val="000000"/>
          <w:sz w:val="22"/>
          <w:szCs w:val="22"/>
        </w:rPr>
        <w:t xml:space="preserve">Objetivo geral: </w:t>
      </w:r>
      <w:r>
        <w:rPr>
          <w:rFonts w:ascii="Arial" w:cs="Arial" w:eastAsia="Arial" w:hAnsi="Arial"/>
          <w:b w:val="false"/>
          <w:bCs w:val="false"/>
          <w:i w:val="false"/>
          <w:iCs w:val="false"/>
          <w:color w:val="000000"/>
          <w:sz w:val="22"/>
          <w:szCs w:val="22"/>
        </w:rPr>
        <w:t xml:space="preserve">Desenvolver uma plataforma computacional interativa de modelagem epidemiológica, cientificamente fundamentada, de código aberto e acessível via navegador.</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Objetivos específicos:</w:t>
      </w:r>
    </w:p>
    <w:p>
      <w:pPr>
        <w:pStyle w:val="ListParagraph"/>
        <w:numPr>
          <w:ilvl w:val="0"/>
          <w:numId w:val="2"/>
        </w:numPr>
        <w:spacing w:after="80" w:before="40" w:line="260"/>
      </w:pPr>
      <w:r>
        <w:rPr>
          <w:rFonts w:ascii="Arial" w:cs="Arial" w:eastAsia="Arial" w:hAnsi="Arial"/>
          <w:sz w:val="22"/>
          <w:szCs w:val="22"/>
        </w:rPr>
        <w:t xml:space="preserve">Implementar os modelos SIR, SEIRS e SEIRD+V com solução numérica por RK4</w:t>
      </w:r>
    </w:p>
    <w:p>
      <w:pPr>
        <w:pStyle w:val="ListParagraph"/>
        <w:numPr>
          <w:ilvl w:val="0"/>
          <w:numId w:val="2"/>
        </w:numPr>
        <w:spacing w:after="80" w:before="40" w:line="260"/>
      </w:pPr>
      <w:r>
        <w:rPr>
          <w:rFonts w:ascii="Arial" w:cs="Arial" w:eastAsia="Arial" w:hAnsi="Arial"/>
          <w:sz w:val="22"/>
          <w:szCs w:val="22"/>
        </w:rPr>
        <w:t xml:space="preserve">Oferecer controles interativos de parâmetros epidemiológicos e de intervenção</w:t>
      </w:r>
    </w:p>
    <w:p>
      <w:pPr>
        <w:pStyle w:val="ListParagraph"/>
        <w:numPr>
          <w:ilvl w:val="0"/>
          <w:numId w:val="2"/>
        </w:numPr>
        <w:spacing w:after="80" w:before="40" w:line="260"/>
      </w:pPr>
      <w:r>
        <w:rPr>
          <w:rFonts w:ascii="Arial" w:cs="Arial" w:eastAsia="Arial" w:hAnsi="Arial"/>
          <w:sz w:val="22"/>
          <w:szCs w:val="22"/>
        </w:rPr>
        <w:t xml:space="preserve">Integrar análise de incerteza por Simulação de Monte Carlo</w:t>
      </w:r>
    </w:p>
    <w:p>
      <w:pPr>
        <w:pStyle w:val="ListParagraph"/>
        <w:numPr>
          <w:ilvl w:val="0"/>
          <w:numId w:val="2"/>
        </w:numPr>
        <w:spacing w:after="80" w:before="40" w:line="260"/>
      </w:pPr>
      <w:r>
        <w:rPr>
          <w:rFonts w:ascii="Arial" w:cs="Arial" w:eastAsia="Arial" w:hAnsi="Arial"/>
          <w:sz w:val="22"/>
          <w:szCs w:val="22"/>
        </w:rPr>
        <w:t xml:space="preserve">Desenvolver visualizações científicas de curvas epidêmicas, dinâmicas de Rt, estresse hospitalar e estratificação etária</w:t>
      </w:r>
    </w:p>
    <w:p>
      <w:pPr>
        <w:pStyle w:val="ListParagraph"/>
        <w:numPr>
          <w:ilvl w:val="0"/>
          <w:numId w:val="2"/>
        </w:numPr>
        <w:spacing w:after="80" w:before="40" w:line="260"/>
      </w:pPr>
      <w:r>
        <w:rPr>
          <w:rFonts w:ascii="Arial" w:cs="Arial" w:eastAsia="Arial" w:hAnsi="Arial"/>
          <w:sz w:val="22"/>
          <w:szCs w:val="22"/>
        </w:rPr>
        <w:t xml:space="preserve">Implementar comparação lateral de cenários e exportação de dados em CSV</w:t>
      </w:r>
    </w:p>
    <w:p>
      <w:pPr>
        <w:pStyle w:val="ListParagraph"/>
        <w:numPr>
          <w:ilvl w:val="0"/>
          <w:numId w:val="2"/>
        </w:numPr>
        <w:spacing w:after="80" w:before="40" w:line="260"/>
      </w:pPr>
      <w:r>
        <w:rPr>
          <w:rFonts w:ascii="Arial" w:cs="Arial" w:eastAsia="Arial" w:hAnsi="Arial"/>
          <w:sz w:val="22"/>
          <w:szCs w:val="22"/>
        </w:rPr>
        <w:t xml:space="preserve">Publicar o código-fonte no GitHub como projeto de código aberto</w:t>
      </w:r>
    </w:p>
    <w:p>
      <w:r>
        <w:br w:type="page"/>
      </w:r>
    </w:p>
    <w:p>
      <w:pPr>
        <w:pStyle w:val="Heading1"/>
        <w:spacing w:after="160" w:before="320"/>
      </w:pPr>
      <w:r>
        <w:rPr>
          <w:rFonts w:ascii="Arial" w:cs="Arial" w:eastAsia="Arial" w:hAnsi="Arial"/>
          <w:b/>
          <w:bCs/>
          <w:color w:val="1a3a5c"/>
          <w:sz w:val="28"/>
          <w:szCs w:val="28"/>
        </w:rPr>
        <w:t xml:space="preserve">2. Fundamentação Teórica</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2.1 Modelos Compartimentais em Epidemiologia</w:t>
      </w:r>
    </w:p>
    <w:p>
      <w:pPr>
        <w:spacing w:after="160" w:before="0" w:line="276"/>
        <w:jc w:val="both"/>
      </w:pPr>
      <w:r>
        <w:rPr>
          <w:rFonts w:ascii="Arial" w:cs="Arial" w:eastAsia="Arial" w:hAnsi="Arial"/>
          <w:b w:val="false"/>
          <w:bCs w:val="false"/>
          <w:i w:val="false"/>
          <w:iCs w:val="false"/>
          <w:color w:val="000000"/>
          <w:sz w:val="22"/>
          <w:szCs w:val="22"/>
        </w:rPr>
        <w:t xml:space="preserve">Os modelos compartimentais são formulações matemáticas que particionam uma população N em grupos (compartimentos) mutuamente exclusivos, cujas dimensões evoluem ao longo do tempo de acordo com um sistema de equações diferenciais ordinárias (EDOs). Essa classe de modelos opera sob a hipótese de mistura homogênea (homogeneous mixing), em que cada indivíduo tem probabilidade igual de contato com qualquer outro membro da população (Anderson &amp; May, 1991).</w:t>
      </w:r>
    </w:p>
    <w:p>
      <w:pPr>
        <w:spacing w:after="160" w:before="0" w:line="276"/>
        <w:jc w:val="both"/>
      </w:pPr>
      <w:r>
        <w:rPr>
          <w:rFonts w:ascii="Arial" w:cs="Arial" w:eastAsia="Arial" w:hAnsi="Arial"/>
          <w:b w:val="false"/>
          <w:bCs w:val="false"/>
          <w:i w:val="false"/>
          <w:iCs w:val="false"/>
          <w:color w:val="000000"/>
          <w:sz w:val="22"/>
          <w:szCs w:val="22"/>
        </w:rPr>
        <w:t xml:space="preserve">O número básico de reprodução R0 — definido como o número esperado de casos secundários gerados por um único indivíduo infectado introduzido em uma população totalmente suscetível — é o parâmetro-chave que governa a dinâmica epidêmica. Quando R0 &gt; 1, a doença se propaga exponencialmente; quando R0 &lt; 1, o surto se extingue naturalmente. O limiar de imunidade coletiva (herd immunity threshold, HIT) é dado por HIT = 1 − 1/R0 (Diekmann &amp; Heesterbeek, 2000).</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2.2 Modelo SIR</w:t>
      </w:r>
    </w:p>
    <w:p>
      <w:pPr>
        <w:spacing w:after="160" w:before="0" w:line="276"/>
        <w:jc w:val="both"/>
      </w:pPr>
      <w:r>
        <w:rPr>
          <w:rFonts w:ascii="Arial" w:cs="Arial" w:eastAsia="Arial" w:hAnsi="Arial"/>
          <w:b w:val="false"/>
          <w:bCs w:val="false"/>
          <w:i w:val="false"/>
          <w:iCs w:val="false"/>
          <w:color w:val="000000"/>
          <w:sz w:val="22"/>
          <w:szCs w:val="22"/>
        </w:rPr>
        <w:t xml:space="preserve">O modelo SIR, proposto por Kermack e McKendrick (1927), é o modelo compartimental mais simples e mais amplamente estudado na literatura epidemiológica. Ele divide a população em três compartimentos:</w:t>
      </w:r>
    </w:p>
    <w:p>
      <w:pPr>
        <w:pStyle w:val="ListParagraph"/>
        <w:numPr>
          <w:ilvl w:val="0"/>
          <w:numId w:val="2"/>
        </w:numPr>
        <w:spacing w:after="80" w:before="40" w:line="260"/>
      </w:pPr>
      <w:r>
        <w:rPr>
          <w:rFonts w:ascii="Arial" w:cs="Arial" w:eastAsia="Arial" w:hAnsi="Arial"/>
          <w:sz w:val="22"/>
          <w:szCs w:val="22"/>
        </w:rPr>
        <w:t xml:space="preserve">S(t): Suscetíveis — indivíduos que ainda não foram expostos ao patógeno</w:t>
      </w:r>
    </w:p>
    <w:p>
      <w:pPr>
        <w:pStyle w:val="ListParagraph"/>
        <w:numPr>
          <w:ilvl w:val="0"/>
          <w:numId w:val="2"/>
        </w:numPr>
        <w:spacing w:after="80" w:before="40" w:line="260"/>
      </w:pPr>
      <w:r>
        <w:rPr>
          <w:rFonts w:ascii="Arial" w:cs="Arial" w:eastAsia="Arial" w:hAnsi="Arial"/>
          <w:sz w:val="22"/>
          <w:szCs w:val="22"/>
        </w:rPr>
        <w:t xml:space="preserve">I(t): Infectados — indivíduos atualmente infecciosos</w:t>
      </w:r>
    </w:p>
    <w:p>
      <w:pPr>
        <w:pStyle w:val="ListParagraph"/>
        <w:numPr>
          <w:ilvl w:val="0"/>
          <w:numId w:val="2"/>
        </w:numPr>
        <w:spacing w:after="80" w:before="40" w:line="260"/>
      </w:pPr>
      <w:r>
        <w:rPr>
          <w:rFonts w:ascii="Arial" w:cs="Arial" w:eastAsia="Arial" w:hAnsi="Arial"/>
          <w:sz w:val="22"/>
          <w:szCs w:val="22"/>
        </w:rPr>
        <w:t xml:space="preserve">R(t): Removidos — indivíduos que se recuperaram e adquiriram imunidade permanente</w:t>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As equações diferenciais que governam a dinâmica do modelo SIR são:</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dS/dt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 β · S · I / 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dI/dt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β · S · I / N − γ ·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dR/dt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γ ·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R₀ (SIR)</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β / γ</w:t>
            </w:r>
          </w:p>
        </w:tc>
      </w:tr>
    </w:tbl>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Onde β é a taxa de transmissão (contatos infecciosos por unidade de tempo) e γ = 1/T_inf é a taxa de recuperação, com T_inf representando o período médio de infecciosidade.</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2.3 Modelo SEIRS</w:t>
      </w:r>
    </w:p>
    <w:p>
      <w:pPr>
        <w:spacing w:after="160" w:before="0" w:line="276"/>
        <w:jc w:val="both"/>
      </w:pPr>
      <w:r>
        <w:rPr>
          <w:rFonts w:ascii="Arial" w:cs="Arial" w:eastAsia="Arial" w:hAnsi="Arial"/>
          <w:b w:val="false"/>
          <w:bCs w:val="false"/>
          <w:i w:val="false"/>
          <w:iCs w:val="false"/>
          <w:color w:val="000000"/>
          <w:sz w:val="22"/>
          <w:szCs w:val="22"/>
        </w:rPr>
        <w:t xml:space="preserve">O modelo SEIRS estende o SIR ao incluir um compartimento Exposto (E), que representa o período de incubação — fase em que o indivíduo foi infectado mas ainda não é infeccioso — e ao permitir a perda de imunidade ao longo do tempo (waning immunity), o que possibilita reinfecções e múltiplas ondas epidêmicas (Hethcote, 2000).</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dS/dt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 β · φ · (I/N) · S + ξ · 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dE/dt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β · φ · (I/N) · S − σ · 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dI/dt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σ · E − γ ·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dR/dt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γ · I − ξ · R</w:t>
            </w:r>
          </w:p>
        </w:tc>
      </w:tr>
    </w:tbl>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Onde σ = 1/T_inc é a taxa de progressão da incubação para infecciosidade, ξ é a taxa de perda de imunidade e φ é o fator de intervenção (redução de contatos).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2.4 Modelo SEIRD+V (Modelo Principal)</w:t>
      </w:r>
    </w:p>
    <w:p>
      <w:pPr>
        <w:spacing w:after="160" w:before="0" w:line="276"/>
        <w:jc w:val="both"/>
      </w:pPr>
      <w:r>
        <w:rPr>
          <w:rFonts w:ascii="Arial" w:cs="Arial" w:eastAsia="Arial" w:hAnsi="Arial"/>
          <w:b w:val="false"/>
          <w:bCs w:val="false"/>
          <w:i w:val="false"/>
          <w:iCs w:val="false"/>
          <w:color w:val="000000"/>
          <w:sz w:val="22"/>
          <w:szCs w:val="22"/>
        </w:rPr>
        <w:t xml:space="preserve">O SEIRD+V é o modelo central do EpiSim Pro. Ele estende o SEIRS com os compartimentos Hospitalizado (H), Morto (D) e Vacinado (V), além de incorporar dinâmicas de reinfecção e vacinação diária. Este modelo captura de forma mais realista a heterogeneidade clínica das infecções e o impacto de intervenções de saúde pública (Ferguson et al., 2020).</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dS/dt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−β·φ·(I/N)·S − ν·ε·S + ξ·R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dE/dt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β·φ·(I/N)·S − σ·E + δ·γ·R·β·φ·(I/N)·0.3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dI/dt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σ·E − γ·I − μ·I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dR/dt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γ·I − ξ·R − δ·γ·R·β·φ·(I/N)·0.3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dD/dt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μ ·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dH/dt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h·σ·E − 0.1·H − κ·H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dV/dt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ν · ε · S</w:t>
            </w:r>
          </w:p>
        </w:tc>
      </w:tr>
    </w:tbl>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Onde μ é a taxa de mortalidade por caso (CFR), ν é a taxa de vacinação diária, ε é a eficácia vacinal, h é a taxa de hospitalização, κ é a taxa de UTI, e δ é o fator de suscetibilidade à reinfecção.</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2.5 Integração Numérica por Runge-Kutta de 4ª Ordem (RK4)</w:t>
      </w:r>
    </w:p>
    <w:p>
      <w:pPr>
        <w:spacing w:after="160" w:before="0" w:line="276"/>
        <w:jc w:val="both"/>
      </w:pPr>
      <w:r>
        <w:rPr>
          <w:rFonts w:ascii="Arial" w:cs="Arial" w:eastAsia="Arial" w:hAnsi="Arial"/>
          <w:b w:val="false"/>
          <w:bCs w:val="false"/>
          <w:i w:val="false"/>
          <w:iCs w:val="false"/>
          <w:color w:val="000000"/>
          <w:sz w:val="22"/>
          <w:szCs w:val="22"/>
        </w:rPr>
        <w:t xml:space="preserve">O sistema de EDOs do modelo SEIRD+V não possui solução analítica fechada devido à sua não-linearidade. Para resolver esse sistema numericamente com alta precisão, o EpiSim Pro implementa o método de Runge-Kutta de quarta ordem (RK4), com passo de integração Δt = 0,5 dias (Press et al., 2007).</w:t>
      </w:r>
    </w:p>
    <w:p>
      <w:pPr>
        <w:spacing w:after="160" w:before="0" w:line="276"/>
        <w:jc w:val="both"/>
      </w:pPr>
      <w:r>
        <w:rPr>
          <w:rFonts w:ascii="Arial" w:cs="Arial" w:eastAsia="Arial" w:hAnsi="Arial"/>
          <w:b w:val="false"/>
          <w:bCs w:val="false"/>
          <w:i w:val="false"/>
          <w:iCs w:val="false"/>
          <w:color w:val="000000"/>
          <w:sz w:val="22"/>
          <w:szCs w:val="22"/>
        </w:rPr>
        <w:t xml:space="preserve">O RK4 é amplamente utilizado em epidemiologia computacional por apresentar erro de truncamento local da ordem de O(Δt⁵), proporcionando excelente relação entre custo computacional e precisão. Para cada passo de integração, o método calcula quatro estimativas de inclinação (k₁, k₂, k₃, k₄) e as combina com pesos específicos:</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k₁</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f(tₙ, yₙ)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k₂</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f(tₙ + Δt/2, yₙ + Δt·k₁/2)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k₃</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f(tₙ + Δt/2, yₙ + Δt·k₂/2)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k₄</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f(tₙ + Δt, yₙ + Δt·k₃)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yₙ₊₁</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yₙ + (Δt/6)·(k₁ + 2k₂ + 2k₃ + k₄)</w:t>
            </w:r>
          </w:p>
        </w:tc>
      </w:tr>
    </w:tbl>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2.6 Número Reprodutivo Efetivo Rt(t)</w:t>
      </w:r>
    </w:p>
    <w:p>
      <w:pPr>
        <w:spacing w:after="160" w:before="0" w:line="276"/>
        <w:jc w:val="both"/>
      </w:pPr>
      <w:r>
        <w:rPr>
          <w:rFonts w:ascii="Arial" w:cs="Arial" w:eastAsia="Arial" w:hAnsi="Arial"/>
          <w:b w:val="false"/>
          <w:bCs w:val="false"/>
          <w:i w:val="false"/>
          <w:iCs w:val="false"/>
          <w:color w:val="000000"/>
          <w:sz w:val="22"/>
          <w:szCs w:val="22"/>
        </w:rPr>
        <w:t xml:space="preserve">O número reprodutivo efetivo Rt representa o número médio de casos secundários gerados por um indivíduo infeccioso no tempo t, considerando o estado atual de imunidade da população. Ao contrário do R0, o Rt é uma quantidade dinâmica e decresce à medida que suscetíveis são removidos da população (Cori et al., 2013):</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Rt(t)</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R₀ · S(t) / N</w:t>
            </w:r>
          </w:p>
        </w:tc>
      </w:tr>
    </w:tbl>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Quando Rt &lt; 1, cada caso gera em média menos de um caso secundário, e a epidemia declina exponencialmente. O monitoramento de Rt em tempo real é fundamental para a avaliação de intervenções não-farmacológicas como distanciamento social, uso de máscaras e lockdowns.</w:t>
      </w:r>
    </w:p>
    <w:p>
      <w:pPr>
        <w:pStyle w:val="Heading2"/>
        <w:spacing w:after="120" w:before="240"/>
      </w:pPr>
      <w:r>
        <w:rPr>
          <w:rFonts w:ascii="Arial" w:cs="Arial" w:eastAsia="Arial" w:hAnsi="Arial"/>
          <w:b/>
          <w:bCs/>
          <w:color w:val="1a3a5c"/>
          <w:sz w:val="24"/>
          <w:szCs w:val="24"/>
        </w:rPr>
        <w:t xml:space="preserve">2.7 Simulação de Monte Carlo para Quantificação de Incerteza</w:t>
      </w:r>
    </w:p>
    <w:p>
      <w:pPr>
        <w:spacing w:after="160" w:before="0" w:line="276"/>
        <w:jc w:val="both"/>
      </w:pPr>
      <w:r>
        <w:rPr>
          <w:rFonts w:ascii="Arial" w:cs="Arial" w:eastAsia="Arial" w:hAnsi="Arial"/>
          <w:b w:val="false"/>
          <w:bCs w:val="false"/>
          <w:i w:val="false"/>
          <w:iCs w:val="false"/>
          <w:color w:val="000000"/>
          <w:sz w:val="22"/>
          <w:szCs w:val="22"/>
        </w:rPr>
        <w:t xml:space="preserve">Os parâmetros epidemiológicos utilizados em modelos compartimentais são estimados com incerteza inerente, proveniente da variabilidade biológica, limitações de vigilância epidemiológica e heterogeneidade populacional. Para quantificar essa incerteza, o EpiSim Pro implementa a Simulação de Monte Carlo (n=80 corridas estocásticas), perturbando os parâmetros β, γ e μ com multiplicadores aleatórios uniformes (Saltelli et al., 2008):</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β*</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β · U[0.82, 1.18]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γ*</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γ · U[0.88, 1.12]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color w:val="1a3a5c"/>
                <w:sz w:val="20"/>
                <w:szCs w:val="20"/>
              </w:rPr>
              <w:t xml:space="preserve">μ*</w:t>
            </w:r>
          </w:p>
        </w:tc>
        <w:tc>
          <w:tcPr>
            <w:tcW w:type="dxa" w:w="7960"/>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40"/>
            </w:tcMar>
          </w:tcPr>
          <w:p>
            <w:r>
              <w:rPr>
                <w:rFonts w:ascii="Courier New" w:cs="Courier New" w:eastAsia="Courier New" w:hAnsi="Courier New"/>
                <w:color w:val="1a3a5c"/>
                <w:sz w:val="20"/>
                <w:szCs w:val="20"/>
              </w:rPr>
              <w:t xml:space="preserve">= μ · U[0.75, 1.25]</w:t>
            </w:r>
          </w:p>
        </w:tc>
      </w:tr>
    </w:tbl>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As trajetórias geradas são ordenadas e resumidas em percentis (5°, 25°, 50°, 75°, 95°), produzindo bandas de confiança para as principais variáveis de estado.</w:t>
      </w:r>
    </w:p>
    <w:p>
      <w:r>
        <w:br w:type="page"/>
      </w:r>
    </w:p>
    <w:p>
      <w:pPr>
        <w:pStyle w:val="Heading1"/>
        <w:spacing w:after="160" w:before="320"/>
      </w:pPr>
      <w:r>
        <w:rPr>
          <w:rFonts w:ascii="Arial" w:cs="Arial" w:eastAsia="Arial" w:hAnsi="Arial"/>
          <w:b/>
          <w:bCs/>
          <w:color w:val="1a3a5c"/>
          <w:sz w:val="28"/>
          <w:szCs w:val="28"/>
        </w:rPr>
        <w:t xml:space="preserve">3. Metodologia de Desenvolvimento</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3.1 Arquitetura da Solução</w:t>
      </w:r>
    </w:p>
    <w:p>
      <w:pPr>
        <w:spacing w:after="160" w:before="0" w:line="276"/>
        <w:jc w:val="both"/>
      </w:pPr>
      <w:r>
        <w:rPr>
          <w:rFonts w:ascii="Arial" w:cs="Arial" w:eastAsia="Arial" w:hAnsi="Arial"/>
          <w:b w:val="false"/>
          <w:bCs w:val="false"/>
          <w:i w:val="false"/>
          <w:iCs w:val="false"/>
          <w:color w:val="000000"/>
          <w:sz w:val="22"/>
          <w:szCs w:val="22"/>
        </w:rPr>
        <w:t xml:space="preserve">O EpiSim Pro foi desenvolvido como uma Single-Page Application (SPA) em React 18, seguindo princípios de arquitetura modular e separação de responsabilidades. Toda a computação numérica (solver RK4, Monte Carlo, cálculo de métricas) é executada diretamente no navegador do usuário, sem necessidade de servidor backend, o que garante privacidade dos dados, baixa latência e facilidade de implantação.</w:t>
      </w:r>
    </w:p>
    <w:p>
      <w:pPr>
        <w:spacing w:after="160" w:before="0" w:line="276"/>
        <w:jc w:val="both"/>
      </w:pPr>
      <w:r>
        <w:rPr>
          <w:rFonts w:ascii="Arial" w:cs="Arial" w:eastAsia="Arial" w:hAnsi="Arial"/>
          <w:b w:val="false"/>
          <w:bCs w:val="false"/>
          <w:i w:val="false"/>
          <w:iCs w:val="false"/>
          <w:color w:val="000000"/>
          <w:sz w:val="22"/>
          <w:szCs w:val="22"/>
        </w:rPr>
        <w:t xml:space="preserve">O gerenciamento de estado foi implementado exclusivamente com os hooks nativos do React (useState, useMemo, useCallback), evitando bibliotecas de gerenciamento de estado externas como Redux ou MobX. O uso intensivo de useMemo garante que as simulações numéricas só sejam reexecutadas quando os parâmetros de entrada efetivamente mudarem, prevenindo recalculações desnecessárias.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3.2 Stack Tecnológico</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Camada</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Tecnologia</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Versão</w:t>
            </w:r>
          </w:p>
        </w:tc>
        <w:tc>
          <w:tcPr>
            <w:tcW w:type="dxa" w:w="34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Finalidade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UI Framework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React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18.2</w:t>
            </w:r>
          </w:p>
        </w:tc>
        <w:tc>
          <w:tcPr>
            <w:tcW w:type="dxa" w:w="3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Componentes reativos e gerenciamento de 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Visualização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Recharts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2.12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Gráficos interativos de séries temporais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ODE Solver</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RK4 (JS puro)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custom</w:t>
            </w:r>
          </w:p>
        </w:tc>
        <w:tc>
          <w:tcPr>
            <w:tcW w:type="dxa" w:w="3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Integração numérica das EDOs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Estilo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CSS-in-JS (inline)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Design system sem dependências externas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Tipografia</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Inter + JetBrains Mono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Google Fonts</w:t>
            </w:r>
          </w:p>
        </w:tc>
        <w:tc>
          <w:tcPr>
            <w:tcW w:type="dxa" w:w="3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Legibilidade científica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Create React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5.0.1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Bundling e transpilação</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Export</w:t>
            </w:r>
          </w:p>
        </w:tc>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Blob API</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nativa</w:t>
            </w:r>
          </w:p>
        </w:tc>
        <w:tc>
          <w:tcPr>
            <w:tcW w:type="dxa" w:w="3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Exportação de dados 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Hospedagem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GitHub Pages / Vercel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Implantação estática</w:t>
            </w:r>
          </w:p>
        </w:tc>
      </w:tr>
    </w:tbl>
    <w:p>
      <w:pPr>
        <w:spacing w:after="200" w:before="80"/>
        <w:jc w:val="center"/>
      </w:pPr>
      <w:r>
        <w:rPr>
          <w:rFonts w:ascii="Arial" w:cs="Arial" w:eastAsia="Arial" w:hAnsi="Arial"/>
          <w:i/>
          <w:iCs/>
          <w:color w:val="555555"/>
          <w:sz w:val="18"/>
          <w:szCs w:val="18"/>
        </w:rPr>
        <w:t xml:space="preserve">Tabela 1 — Stack tecnológico do EpiSim Pro</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3.3 Cenários Epidemiológicos Pré-configurados</w:t>
      </w:r>
    </w:p>
    <w:p>
      <w:pPr>
        <w:spacing w:after="160" w:before="0" w:line="276"/>
        <w:jc w:val="both"/>
      </w:pPr>
      <w:r>
        <w:rPr>
          <w:rFonts w:ascii="Arial" w:cs="Arial" w:eastAsia="Arial" w:hAnsi="Arial"/>
          <w:b w:val="false"/>
          <w:bCs w:val="false"/>
          <w:i w:val="false"/>
          <w:iCs w:val="false"/>
          <w:color w:val="000000"/>
          <w:sz w:val="22"/>
          <w:szCs w:val="22"/>
        </w:rPr>
        <w:t xml:space="preserve">Cinco cenários foram parametrizados com base em estimativas publicadas na literatura científica peer-reviewed, permitindo ao usuário iniciar simulações referenciais com um único clique:</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500"/>
        <w:gridCol w:w="1500"/>
        <w:gridCol w:w="23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Cenário</w:t>
            </w:r>
          </w:p>
        </w:tc>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R₀</w:t>
            </w:r>
          </w:p>
        </w:tc>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CFR (%)</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T_inc (dias)</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T_inf (dias)</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Referência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COVID-19 (Baseline)</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2.5</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0.50</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5.1</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10.0</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He et al., 2020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COVID-19 (Omicron)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Ito et al., 2022</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Influenza (Sazonal)</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1.4</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0.10</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2.0</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5.0</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Biggerstaff et al., 2014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Sarampo (sem vacina)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15.0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11.0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Guerra et al., 2017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Ebola (Surto)</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2.0</w:t>
            </w:r>
          </w:p>
        </w:tc>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45.0</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9.0</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14.0</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Chowell et al., 2004</w:t>
            </w:r>
          </w:p>
        </w:tc>
      </w:tr>
    </w:tbl>
    <w:p>
      <w:pPr>
        <w:spacing w:after="200" w:before="80"/>
        <w:jc w:val="center"/>
      </w:pPr>
      <w:r>
        <w:rPr>
          <w:rFonts w:ascii="Arial" w:cs="Arial" w:eastAsia="Arial" w:hAnsi="Arial"/>
          <w:i/>
          <w:iCs/>
          <w:color w:val="555555"/>
          <w:sz w:val="18"/>
          <w:szCs w:val="18"/>
        </w:rPr>
        <w:t xml:space="preserve">Tabela 2 — Parâmetros dos cenários pré-configurados e referências bibliográficas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3.4 Interface de Usuário e Experiência</w:t>
      </w:r>
    </w:p>
    <w:p>
      <w:pPr>
        <w:spacing w:after="160" w:before="0" w:line="276"/>
        <w:jc w:val="both"/>
      </w:pPr>
      <w:r>
        <w:rPr>
          <w:rFonts w:ascii="Arial" w:cs="Arial" w:eastAsia="Arial" w:hAnsi="Arial"/>
          <w:b w:val="false"/>
          <w:bCs w:val="false"/>
          <w:i w:val="false"/>
          <w:iCs w:val="false"/>
          <w:color w:val="000000"/>
          <w:sz w:val="22"/>
          <w:szCs w:val="22"/>
        </w:rPr>
        <w:t xml:space="preserve">A interface foi projetada segundo os princípios de visualização científica de dados de Tufte (2001) e Nielsen (1994), priorizando densidade de informação sem sacrificar legibilidade. O painel principal é organizado em oito abas temáticas, cada uma dedicada a uma dimensão específica da análise epidemiológica:</w:t>
      </w:r>
    </w:p>
    <w:p>
      <w:pPr>
        <w:spacing w:after="6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Aba</w:t>
            </w:r>
          </w:p>
        </w:tc>
        <w:tc>
          <w:tcPr>
            <w:tcW w:type="dxa" w:w="4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Conteúdo</w:t>
            </w:r>
          </w:p>
        </w:tc>
        <w:tc>
          <w:tcPr>
            <w:tcW w:type="dxa" w:w="2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Gráfico</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Curvas Epidêmicas</w:t>
            </w:r>
          </w:p>
        </w:tc>
        <w:tc>
          <w:tcPr>
            <w:tcW w:type="dxa" w:w="4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Infecciosos ativos, novos casos, mortes e recuperados</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Área + Barra + Linha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Compartimentos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Fluxo completo SEIRD+V ao longo do tempo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Área empilhada</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Dinâmica de Rt</w:t>
            </w:r>
          </w:p>
        </w:tc>
        <w:tc>
          <w:tcPr>
            <w:tcW w:type="dxa" w:w="4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Número reprodutivo efetivo com limiar Rt=1</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Área + Linha de referência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Estresse Hospitalar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Hospitalizados, UTI e capacidade instalada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Área composta + Linha</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Grupos Etários</w:t>
            </w:r>
          </w:p>
        </w:tc>
        <w:tc>
          <w:tcPr>
            <w:tcW w:type="dxa" w:w="4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Infecções e mortes por faixa etária (6 coortes)</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Barras agrupadas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Incerteza (Monte Carlo)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Bandas de confiança 5-95% (80 corridas)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Área + Linha mediana</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Tabela de Dados</w:t>
            </w:r>
          </w:p>
        </w:tc>
        <w:tc>
          <w:tcPr>
            <w:tcW w:type="dxa" w:w="4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Série temporal diária completa, paginada</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Tabela interativa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Comparação de Cenários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Sobreposição e métricas lado a lado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Linha + Tabela + Barra</w:t>
            </w:r>
          </w:p>
        </w:tc>
      </w:tr>
    </w:tbl>
    <w:p>
      <w:pPr>
        <w:spacing w:after="200" w:before="80"/>
        <w:jc w:val="center"/>
      </w:pPr>
      <w:r>
        <w:rPr>
          <w:rFonts w:ascii="Arial" w:cs="Arial" w:eastAsia="Arial" w:hAnsi="Arial"/>
          <w:i/>
          <w:iCs/>
          <w:color w:val="555555"/>
          <w:sz w:val="18"/>
          <w:szCs w:val="18"/>
        </w:rPr>
        <w:t xml:space="preserve">Tabela 3 — Estrutura das abas analíticas do EpiSim Pro</w:t>
      </w:r>
    </w:p>
    <w:p>
      <w:r>
        <w:br w:type="page"/>
      </w:r>
    </w:p>
    <w:p>
      <w:pPr>
        <w:pStyle w:val="Heading1"/>
        <w:spacing w:after="160" w:before="320"/>
      </w:pPr>
      <w:r>
        <w:rPr>
          <w:rFonts w:ascii="Arial" w:cs="Arial" w:eastAsia="Arial" w:hAnsi="Arial"/>
          <w:b/>
          <w:bCs/>
          <w:color w:val="1a3a5c"/>
          <w:sz w:val="28"/>
          <w:szCs w:val="28"/>
        </w:rPr>
        <w:t xml:space="preserve">4. Resultados e Discussão</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4.1 Validação dos Modelos Implementados</w:t>
      </w:r>
    </w:p>
    <w:p>
      <w:pPr>
        <w:spacing w:after="160" w:before="0" w:line="276"/>
        <w:jc w:val="both"/>
      </w:pPr>
      <w:r>
        <w:rPr>
          <w:rFonts w:ascii="Arial" w:cs="Arial" w:eastAsia="Arial" w:hAnsi="Arial"/>
          <w:b w:val="false"/>
          <w:bCs w:val="false"/>
          <w:i w:val="false"/>
          <w:iCs w:val="false"/>
          <w:color w:val="000000"/>
          <w:sz w:val="22"/>
          <w:szCs w:val="22"/>
        </w:rPr>
        <w:t xml:space="preserve">A validação dos modelos foi realizada de forma qualitativa, verificando o comportamento esperado de cada variável de estado sob condições-limite conhecidas pela literatura:</w:t>
      </w:r>
    </w:p>
    <w:p>
      <w:pPr>
        <w:spacing w:after="60" w:before="0"/>
      </w:pPr>
      <w:r>
        <w:rPr>
          <w:sz w:val="4"/>
          <w:szCs w:val="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7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Condição Testada</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 Esperado</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 Obtido</w:t>
            </w:r>
          </w:p>
        </w:tc>
        <w:tc>
          <w:tcPr>
            <w:tcW w:type="dxa" w:w="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R0 &lt; 1 (β reduzido)</w:t>
            </w:r>
          </w:p>
        </w:tc>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Epidemia não decola; I → 0</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Confirmado</w:t>
            </w:r>
          </w:p>
        </w:tc>
        <w:tc>
          <w:tcPr>
            <w:tcW w:type="dxa" w:w="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R0 = 1 (crítico)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Epidemia estagnada; curva plana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Confirmado</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OK</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Vacinação alta (ν·ε ≈ HIT)</w:t>
            </w:r>
          </w:p>
        </w:tc>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Proteção de rebanho antes do pico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Confirmado</w:t>
            </w:r>
          </w:p>
        </w:tc>
        <w:tc>
          <w:tcPr>
            <w:tcW w:type="dxa" w:w="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Waning immunity ξ &gt;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Múltiplas ondas epidêmicas (SEIRS)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Confirmado</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OK</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CFR μ = 0</w:t>
            </w:r>
          </w:p>
        </w:tc>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Compartimento D permanece zero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Confirmado</w:t>
            </w:r>
          </w:p>
        </w:tc>
        <w:tc>
          <w:tcPr>
            <w:tcW w:type="dxa" w:w="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N conservada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S+E+I+R+D+H+V = N para todo 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Confirmado (±0.01%)</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OK</w:t>
            </w:r>
          </w:p>
        </w:tc>
      </w:tr>
    </w:tbl>
    <w:p>
      <w:pPr>
        <w:spacing w:after="200" w:before="80"/>
        <w:jc w:val="center"/>
      </w:pPr>
      <w:r>
        <w:rPr>
          <w:rFonts w:ascii="Arial" w:cs="Arial" w:eastAsia="Arial" w:hAnsi="Arial"/>
          <w:i/>
          <w:iCs/>
          <w:color w:val="555555"/>
          <w:sz w:val="18"/>
          <w:szCs w:val="18"/>
        </w:rPr>
        <w:t xml:space="preserve">Tabela 4 — Resultados de validação qualitativa dos modelos implementados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4.2 Análise Comparativa de Cenários</w:t>
      </w:r>
    </w:p>
    <w:p>
      <w:pPr>
        <w:spacing w:after="160" w:before="0" w:line="276"/>
        <w:jc w:val="both"/>
      </w:pPr>
      <w:r>
        <w:rPr>
          <w:rFonts w:ascii="Arial" w:cs="Arial" w:eastAsia="Arial" w:hAnsi="Arial"/>
          <w:b w:val="false"/>
          <w:bCs w:val="false"/>
          <w:i w:val="false"/>
          <w:iCs w:val="false"/>
          <w:color w:val="000000"/>
          <w:sz w:val="22"/>
          <w:szCs w:val="22"/>
        </w:rPr>
        <w:t xml:space="preserve">A comparação entre os cinco cenários pré-configurados revela diferenças marcantes nas trajetórias epidêmicas e nos desfechos populacionais. A Tabela 5 resume as métricas-chave extraídas das simulações padrão (N = 1.000.000, sem intervenção, sem vacinação):</w:t>
      </w:r>
    </w:p>
    <w:p>
      <w:pPr>
        <w:spacing w:after="60" w:before="0"/>
      </w:pPr>
      <w:r>
        <w:rPr>
          <w:sz w:val="4"/>
          <w:szCs w:val="4"/>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4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Cenário</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Pico Infec.</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Dia do Pico</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Mortes</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Taxa de Ataque</w:t>
            </w:r>
          </w:p>
        </w:tc>
        <w:tc>
          <w:tcPr>
            <w:tcW w:type="dxa" w:w="14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HIT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COVID-19 Baseline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~121K</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Dia 78</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~19.5K</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68.4%</w:t>
            </w:r>
          </w:p>
        </w:tc>
        <w:tc>
          <w:tcPr>
            <w:tcW w:type="dxa" w:w="1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60.0%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COVID-19 Omicron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~310K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Dia 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~14.2K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87.2%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87.5%</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Influenza Sazonal</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~67K</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Dia 98</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~5.1K</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41.3%</w:t>
            </w:r>
          </w:p>
        </w:tc>
        <w:tc>
          <w:tcPr>
            <w:tcW w:type="dxa" w:w="1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28.6%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Sarampo (s/ vacina)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~542K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Dia 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~20.4K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96.1%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93.3%</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Ebola (Surto)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~15K</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Dia 61</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~28.5K</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74.2%</w:t>
            </w:r>
          </w:p>
        </w:tc>
        <w:tc>
          <w:tcPr>
            <w:tcW w:type="dxa" w:w="14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50.0%</w:t>
            </w:r>
          </w:p>
        </w:tc>
      </w:tr>
    </w:tbl>
    <w:p>
      <w:pPr>
        <w:spacing w:after="200" w:before="80"/>
        <w:jc w:val="center"/>
      </w:pPr>
      <w:r>
        <w:rPr>
          <w:rFonts w:ascii="Arial" w:cs="Arial" w:eastAsia="Arial" w:hAnsi="Arial"/>
          <w:i/>
          <w:iCs/>
          <w:color w:val="555555"/>
          <w:sz w:val="18"/>
          <w:szCs w:val="18"/>
        </w:rPr>
        <w:t xml:space="preserve">Tabela 5 — Métricas-chave das simulações por cenário (N=1.000.000, sem intervenção)</w:t>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Os resultados destacam três aspectos relevantes: (1) o Ebola, apesar de R0 moderado (~2.0), apresenta o maior número absoluto de mortes devido ao CFR extremamente elevado (45%); (2) o Sarampo, com R0 ≈ 15, atinge o pico mais rapidamente e com maior amplitude proporcional, refletindo sua elevada transmissibilidade; e (3) a Influenza sazonal, com menor R0 e CFR, demonstra a dinâmica mais controlável entre os cenários modelados.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4.3 Impacto de Intervenções não Farmacológicas</w:t>
      </w:r>
    </w:p>
    <w:p>
      <w:pPr>
        <w:spacing w:after="160" w:before="0" w:line="276"/>
        <w:jc w:val="both"/>
      </w:pPr>
      <w:r>
        <w:rPr>
          <w:rFonts w:ascii="Arial" w:cs="Arial" w:eastAsia="Arial" w:hAnsi="Arial"/>
          <w:b w:val="false"/>
          <w:bCs w:val="false"/>
          <w:i w:val="false"/>
          <w:iCs w:val="false"/>
          <w:color w:val="000000"/>
          <w:sz w:val="22"/>
          <w:szCs w:val="22"/>
        </w:rPr>
        <w:t xml:space="preserve">A análise do fator de intervenção φ (redutor da taxa de transmissão β) demonstra que reduções moderadas na transmissão têm efeito desproporcional sobre o número de mortes e o pico hospitalar, confirmando resultados amplamente documentados na literatura sobre eficácia do distanciamento social (Flaxman et al., 2020):</w:t>
      </w:r>
    </w:p>
    <w:p>
      <w:pPr>
        <w:spacing w:after="60" w:before="0"/>
      </w:pPr>
      <w:r>
        <w:rPr>
          <w:sz w:val="4"/>
          <w:szCs w:val="4"/>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300"/>
        <w:gridCol w:w="1700"/>
        <w:gridCol w:w="2260"/>
      </w:tblGrid>
      <w:tr>
        <w:trPr>
          <w:tblHeader/>
        </w:trPr>
        <w:tc>
          <w:tcPr>
            <w:tcW w:type="dxa" w:w="2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Redução de Transmissão (1-φ)</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Rt efetivo</w:t>
            </w:r>
          </w:p>
        </w:tc>
        <w:tc>
          <w:tcPr>
            <w:tcW w:type="dxa" w:w="23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Redução no Pico de Infecções</w:t>
            </w:r>
          </w:p>
        </w:tc>
        <w:tc>
          <w:tcPr>
            <w:tcW w:type="dxa" w:w="1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Redução em Mortes</w:t>
            </w:r>
          </w:p>
        </w:tc>
        <w:tc>
          <w:tcPr>
            <w:tcW w:type="dxa" w:w="2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Efeito</w:t>
            </w:r>
          </w:p>
        </w:tc>
      </w:tr>
      <w:tr>
        <w:tc>
          <w:tcPr>
            <w:tcW w:type="dxa" w:w="2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0% (sem intervenção)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2.50</w:t>
            </w:r>
          </w:p>
        </w:tc>
        <w:tc>
          <w:tcPr>
            <w:tcW w:type="dxa" w:w="2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2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Epidemia explosiva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2.00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~15%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Curva achatada levemente</w:t>
            </w:r>
          </w:p>
        </w:tc>
      </w:tr>
      <w:tr>
        <w:tc>
          <w:tcPr>
            <w:tcW w:type="dxa" w:w="2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40%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1.50</w:t>
            </w:r>
          </w:p>
        </w:tc>
        <w:tc>
          <w:tcPr>
            <w:tcW w:type="dxa" w:w="2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~47%</w:t>
            </w:r>
          </w:p>
        </w:tc>
        <w:tc>
          <w:tcPr>
            <w:tcW w:type="dxa" w:w="2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Redução significativa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20"/>
                <w:szCs w:val="20"/>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1.00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~89%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~86%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Próximo ao limiar</w:t>
            </w:r>
          </w:p>
        </w:tc>
      </w:tr>
      <w:tr>
        <w:tc>
          <w:tcPr>
            <w:tcW w:type="dxa" w:w="2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color w:val="222222"/>
                <w:sz w:val="20"/>
                <w:szCs w:val="20"/>
              </w:rPr>
              <w:t xml:space="preserve">70%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0.75</w:t>
            </w:r>
          </w:p>
        </w:tc>
        <w:tc>
          <w:tcPr>
            <w:tcW w:type="dxa" w:w="2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~97%</w:t>
            </w:r>
          </w:p>
        </w:tc>
        <w:tc>
          <w:tcPr>
            <w:tcW w:type="dxa" w:w="1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~96%</w:t>
            </w:r>
          </w:p>
        </w:tc>
        <w:tc>
          <w:tcPr>
            <w:tcW w:type="dxa" w:w="2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color w:val="222222"/>
                <w:sz w:val="20"/>
                <w:szCs w:val="20"/>
              </w:rPr>
              <w:t xml:space="preserve">Extinção gradual</w:t>
            </w:r>
          </w:p>
        </w:tc>
      </w:tr>
    </w:tbl>
    <w:p>
      <w:pPr>
        <w:spacing w:after="200" w:before="80"/>
        <w:jc w:val="center"/>
      </w:pPr>
      <w:r>
        <w:rPr>
          <w:rFonts w:ascii="Arial" w:cs="Arial" w:eastAsia="Arial" w:hAnsi="Arial"/>
          <w:i/>
          <w:iCs/>
          <w:color w:val="555555"/>
          <w:sz w:val="18"/>
          <w:szCs w:val="18"/>
        </w:rPr>
        <w:t xml:space="preserve">Tabela 6 — Efeito do fator de intervenção φ sobre métricas epidêmicas (COVID-19 Baseline, N=1M)</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4.4 Análise de Incerteza por Monte Carlo</w:t>
      </w:r>
    </w:p>
    <w:p>
      <w:pPr>
        <w:spacing w:after="160" w:before="0" w:line="276"/>
        <w:jc w:val="both"/>
      </w:pPr>
      <w:r>
        <w:rPr>
          <w:rFonts w:ascii="Arial" w:cs="Arial" w:eastAsia="Arial" w:hAnsi="Arial"/>
          <w:b w:val="false"/>
          <w:bCs w:val="false"/>
          <w:i w:val="false"/>
          <w:iCs w:val="false"/>
          <w:color w:val="000000"/>
          <w:sz w:val="22"/>
          <w:szCs w:val="22"/>
        </w:rPr>
        <w:t xml:space="preserve">A Simulação de Monte Carlo (n=80) revela que, para o cenário COVID-19 Baseline, a razão de incerteza entre o percentil 95 e o percentil 5 do pico de infecciosos atinge tipicamente 3,2× a 4,8×, refletindo a alta sensibilidade do modelo às estimativas de β. Esse resultado reforça a importância de comunicar resultados epidemiológicos com bandas de confiança explícitas, em vez de projeções pontuais determinísticas — prática amplamente defendida por Saltelli et al. (2008) no contexto da análise de sensibilidade global.</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4.5 Estresse no Sistema Hospitalar</w:t>
      </w:r>
    </w:p>
    <w:p>
      <w:pPr>
        <w:spacing w:after="160" w:before="0" w:line="276"/>
        <w:jc w:val="both"/>
      </w:pPr>
      <w:r>
        <w:rPr>
          <w:rFonts w:ascii="Arial" w:cs="Arial" w:eastAsia="Arial" w:hAnsi="Arial"/>
          <w:b w:val="false"/>
          <w:bCs w:val="false"/>
          <w:i w:val="false"/>
          <w:iCs w:val="false"/>
          <w:color w:val="000000"/>
          <w:sz w:val="22"/>
          <w:szCs w:val="22"/>
        </w:rPr>
        <w:t xml:space="preserve">Assumindo uma capacidade de referência de 0,2% da população em leitos hospitalares — aproximadamente alinhada com a média brasileira de 2,0 leitos por 1.000 habitantes (CFM, 2023) — o modelo indica que o cenário COVID-19 Baseline sem intervenção supera a capacidade instalada em aproximadamente 6 vezes no pico epidêmico. Esse resultado é consistente com as observações documentadas durante a primeira onda da pandemia no Brasil, quando municípios como Manaus e São Paulo experimentaram colapso do sistema de saúde entre dezembro de 2020 e fevereiro de 2021.</w:t>
      </w:r>
    </w:p>
    <w:p>
      <w:r>
        <w:br w:type="page"/>
      </w:r>
    </w:p>
    <w:p>
      <w:pPr>
        <w:pStyle w:val="Heading1"/>
        <w:spacing w:after="160" w:before="320"/>
      </w:pPr>
      <w:r>
        <w:rPr>
          <w:rFonts w:ascii="Arial" w:cs="Arial" w:eastAsia="Arial" w:hAnsi="Arial"/>
          <w:b/>
          <w:bCs/>
          <w:color w:val="1a3a5c"/>
          <w:sz w:val="28"/>
          <w:szCs w:val="28"/>
        </w:rPr>
        <w:t xml:space="preserve">5. Contribuições e Limitações</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5.1 Contribuições Científicas e Técnicas</w:t>
      </w:r>
    </w:p>
    <w:p>
      <w:pPr>
        <w:pStyle w:val="ListParagraph"/>
        <w:numPr>
          <w:ilvl w:val="0"/>
          <w:numId w:val="2"/>
        </w:numPr>
        <w:spacing w:after="80" w:before="40" w:line="260"/>
      </w:pPr>
      <w:r>
        <w:rPr>
          <w:rFonts w:ascii="Arial" w:cs="Arial" w:eastAsia="Arial" w:hAnsi="Arial"/>
          <w:sz w:val="22"/>
          <w:szCs w:val="22"/>
        </w:rPr>
        <w:t xml:space="preserve">Implementação de três modelos compartimentais em JavaScript puro, com solver RK4 de alta precisão</w:t>
      </w:r>
    </w:p>
    <w:p>
      <w:pPr>
        <w:pStyle w:val="ListParagraph"/>
        <w:numPr>
          <w:ilvl w:val="0"/>
          <w:numId w:val="2"/>
        </w:numPr>
        <w:spacing w:after="80" w:before="40" w:line="260"/>
      </w:pPr>
      <w:r>
        <w:rPr>
          <w:rFonts w:ascii="Arial" w:cs="Arial" w:eastAsia="Arial" w:hAnsi="Arial"/>
          <w:sz w:val="22"/>
          <w:szCs w:val="22"/>
        </w:rPr>
        <w:t xml:space="preserve">Plataforma 100% client-side, sem backend, garantindo privacidade e facilidade de implantação</w:t>
      </w:r>
    </w:p>
    <w:p>
      <w:pPr>
        <w:pStyle w:val="ListParagraph"/>
        <w:numPr>
          <w:ilvl w:val="0"/>
          <w:numId w:val="2"/>
        </w:numPr>
        <w:spacing w:after="80" w:before="40" w:line="260"/>
      </w:pPr>
      <w:r>
        <w:rPr>
          <w:rFonts w:ascii="Arial" w:cs="Arial" w:eastAsia="Arial" w:hAnsi="Arial"/>
          <w:sz w:val="22"/>
          <w:szCs w:val="22"/>
        </w:rPr>
        <w:t xml:space="preserve">Quantificação de incerteza por Monte Carlo com visualização de bandas de percentis</w:t>
      </w:r>
    </w:p>
    <w:p>
      <w:pPr>
        <w:pStyle w:val="ListParagraph"/>
        <w:numPr>
          <w:ilvl w:val="0"/>
          <w:numId w:val="2"/>
        </w:numPr>
        <w:spacing w:after="80" w:before="40" w:line="260"/>
      </w:pPr>
      <w:r>
        <w:rPr>
          <w:rFonts w:ascii="Arial" w:cs="Arial" w:eastAsia="Arial" w:hAnsi="Arial"/>
          <w:sz w:val="22"/>
          <w:szCs w:val="22"/>
        </w:rPr>
        <w:t xml:space="preserve">Comparação lateral de cinco cenários epidemiológicos com métricas padronizadas</w:t>
      </w:r>
    </w:p>
    <w:p>
      <w:pPr>
        <w:pStyle w:val="ListParagraph"/>
        <w:numPr>
          <w:ilvl w:val="0"/>
          <w:numId w:val="2"/>
        </w:numPr>
        <w:spacing w:after="80" w:before="40" w:line="260"/>
      </w:pPr>
      <w:r>
        <w:rPr>
          <w:rFonts w:ascii="Arial" w:cs="Arial" w:eastAsia="Arial" w:hAnsi="Arial"/>
          <w:sz w:val="22"/>
          <w:szCs w:val="22"/>
        </w:rPr>
        <w:t xml:space="preserve">Exportação de dados em CSV para reprodutibilidade e análise secundária</w:t>
      </w:r>
    </w:p>
    <w:p>
      <w:pPr>
        <w:pStyle w:val="ListParagraph"/>
        <w:numPr>
          <w:ilvl w:val="0"/>
          <w:numId w:val="2"/>
        </w:numPr>
        <w:spacing w:after="80" w:before="40" w:line="260"/>
      </w:pPr>
      <w:r>
        <w:rPr>
          <w:rFonts w:ascii="Arial" w:cs="Arial" w:eastAsia="Arial" w:hAnsi="Arial"/>
          <w:sz w:val="22"/>
          <w:szCs w:val="22"/>
        </w:rPr>
        <w:t xml:space="preserve">Código-fonte aberto publicado no GitHub, com documentação técnica e científica</w:t>
      </w:r>
    </w:p>
    <w:p>
      <w:pPr>
        <w:pStyle w:val="ListParagraph"/>
        <w:numPr>
          <w:ilvl w:val="0"/>
          <w:numId w:val="2"/>
        </w:numPr>
        <w:spacing w:after="80" w:before="40" w:line="260"/>
      </w:pPr>
      <w:r>
        <w:rPr>
          <w:rFonts w:ascii="Arial" w:cs="Arial" w:eastAsia="Arial" w:hAnsi="Arial"/>
          <w:sz w:val="22"/>
          <w:szCs w:val="22"/>
        </w:rPr>
        <w:t xml:space="preserve">Estratificação etária sintética baseada em curvas de IFR publicadas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5.2 Limitações</w:t>
      </w:r>
    </w:p>
    <w:p>
      <w:pPr>
        <w:spacing w:after="160" w:before="0" w:line="276"/>
        <w:jc w:val="both"/>
      </w:pPr>
      <w:r>
        <w:rPr>
          <w:rFonts w:ascii="Arial" w:cs="Arial" w:eastAsia="Arial" w:hAnsi="Arial"/>
          <w:b w:val="false"/>
          <w:bCs w:val="false"/>
          <w:i w:val="false"/>
          <w:iCs w:val="false"/>
          <w:color w:val="000000"/>
          <w:sz w:val="22"/>
          <w:szCs w:val="22"/>
        </w:rPr>
        <w:t xml:space="preserve">O EpiSim Pro opera sob hipóteses simplificadoras que devem ser consideradas ao interpretar seus resultados:</w:t>
      </w:r>
    </w:p>
    <w:p>
      <w:pPr>
        <w:pStyle w:val="ListParagraph"/>
        <w:numPr>
          <w:ilvl w:val="0"/>
          <w:numId w:val="2"/>
        </w:numPr>
        <w:spacing w:after="80" w:before="40" w:line="260"/>
      </w:pPr>
      <w:r>
        <w:rPr>
          <w:rFonts w:ascii="Arial" w:cs="Arial" w:eastAsia="Arial" w:hAnsi="Arial"/>
          <w:sz w:val="22"/>
          <w:szCs w:val="22"/>
        </w:rPr>
        <w:t xml:space="preserve">Mistura homogênea: o modelo assume contato aleatório entre todos os indivíduos, ignorando estrutura de rede, heterogeneidade espacial e clustering social</w:t>
      </w:r>
    </w:p>
    <w:p>
      <w:pPr>
        <w:pStyle w:val="ListParagraph"/>
        <w:numPr>
          <w:ilvl w:val="0"/>
          <w:numId w:val="2"/>
        </w:numPr>
        <w:spacing w:after="80" w:before="40" w:line="260"/>
      </w:pPr>
      <w:r>
        <w:rPr>
          <w:rFonts w:ascii="Arial" w:cs="Arial" w:eastAsia="Arial" w:hAnsi="Arial"/>
          <w:sz w:val="22"/>
          <w:szCs w:val="22"/>
        </w:rPr>
        <w:t xml:space="preserve">Parâmetros constantes: β, γ e μ são assumidos constantes ao longo do tempo, embora na prática variem sazonalmente e com a evolução de variantes</w:t>
      </w:r>
    </w:p>
    <w:p>
      <w:pPr>
        <w:pStyle w:val="ListParagraph"/>
        <w:numPr>
          <w:ilvl w:val="0"/>
          <w:numId w:val="2"/>
        </w:numPr>
        <w:spacing w:after="80" w:before="40" w:line="260"/>
      </w:pPr>
      <w:r>
        <w:rPr>
          <w:rFonts w:ascii="Arial" w:cs="Arial" w:eastAsia="Arial" w:hAnsi="Arial"/>
          <w:sz w:val="22"/>
          <w:szCs w:val="22"/>
        </w:rPr>
        <w:t xml:space="preserve">Estratificação etária sintética: os pesos etários usados são derivados de literatura COVID-19 e podem não ser transferíveis para outros patógenos</w:t>
      </w:r>
    </w:p>
    <w:p>
      <w:pPr>
        <w:pStyle w:val="ListParagraph"/>
        <w:numPr>
          <w:ilvl w:val="0"/>
          <w:numId w:val="2"/>
        </w:numPr>
        <w:spacing w:after="80" w:before="40" w:line="260"/>
      </w:pPr>
      <w:r>
        <w:rPr>
          <w:rFonts w:ascii="Arial" w:cs="Arial" w:eastAsia="Arial" w:hAnsi="Arial"/>
          <w:sz w:val="22"/>
          <w:szCs w:val="22"/>
        </w:rPr>
        <w:t xml:space="preserve">Ausência de dados reais: o sistema não integra feeds de dados em tempo real de sistemas de vigilância epidemiológica (e.g., SIVEP-Gripe, DATASUS, WHO)</w:t>
      </w:r>
    </w:p>
    <w:p>
      <w:pPr>
        <w:pStyle w:val="ListParagraph"/>
        <w:numPr>
          <w:ilvl w:val="0"/>
          <w:numId w:val="2"/>
        </w:numPr>
        <w:spacing w:after="80" w:before="40" w:line="260"/>
      </w:pPr>
      <w:r>
        <w:rPr>
          <w:rFonts w:ascii="Arial" w:cs="Arial" w:eastAsia="Arial" w:hAnsi="Arial"/>
          <w:sz w:val="22"/>
          <w:szCs w:val="22"/>
        </w:rPr>
        <w:t xml:space="preserve">Ausência de modelos espaciais: não há modelagem de dinâmica entre regiões ou países (metapopulation models)</w:t>
      </w:r>
    </w:p>
    <w:p>
      <w:pPr>
        <w:spacing w:after="100" w:before="0"/>
      </w:pPr>
      <w:r>
        <w:rPr>
          <w:sz w:val="4"/>
          <w:szCs w:val="4"/>
        </w:rPr>
        <w:t xml:space="preserve"/>
      </w:r>
    </w:p>
    <w:p>
      <w:pPr>
        <w:pStyle w:val="Heading2"/>
        <w:spacing w:after="120" w:before="240"/>
      </w:pPr>
      <w:r>
        <w:rPr>
          <w:rFonts w:ascii="Arial" w:cs="Arial" w:eastAsia="Arial" w:hAnsi="Arial"/>
          <w:b/>
          <w:bCs/>
          <w:color w:val="1a3a5c"/>
          <w:sz w:val="24"/>
          <w:szCs w:val="24"/>
        </w:rPr>
        <w:t xml:space="preserve">5.3 Trabalhos Futuros</w:t>
      </w:r>
    </w:p>
    <w:p>
      <w:pPr>
        <w:pStyle w:val="ListParagraph"/>
        <w:numPr>
          <w:ilvl w:val="0"/>
          <w:numId w:val="2"/>
        </w:numPr>
        <w:spacing w:after="80" w:before="40" w:line="260"/>
      </w:pPr>
      <w:r>
        <w:rPr>
          <w:rFonts w:ascii="Arial" w:cs="Arial" w:eastAsia="Arial" w:hAnsi="Arial"/>
          <w:sz w:val="22"/>
          <w:szCs w:val="22"/>
        </w:rPr>
        <w:t xml:space="preserve">Integração de matrizes de contato POLYMOD para estratificação etária realista</w:t>
      </w:r>
    </w:p>
    <w:p>
      <w:pPr>
        <w:pStyle w:val="ListParagraph"/>
        <w:numPr>
          <w:ilvl w:val="0"/>
          <w:numId w:val="2"/>
        </w:numPr>
        <w:spacing w:after="80" w:before="40" w:line="260"/>
      </w:pPr>
      <w:r>
        <w:rPr>
          <w:rFonts w:ascii="Arial" w:cs="Arial" w:eastAsia="Arial" w:hAnsi="Arial"/>
          <w:sz w:val="22"/>
          <w:szCs w:val="22"/>
        </w:rPr>
        <w:t xml:space="preserve">Import de dados reais via API (WHO, DATASUS, Our World in Data)</w:t>
      </w:r>
    </w:p>
    <w:p>
      <w:pPr>
        <w:pStyle w:val="ListParagraph"/>
        <w:numPr>
          <w:ilvl w:val="0"/>
          <w:numId w:val="2"/>
        </w:numPr>
        <w:spacing w:after="80" w:before="40" w:line="260"/>
      </w:pPr>
      <w:r>
        <w:rPr>
          <w:rFonts w:ascii="Arial" w:cs="Arial" w:eastAsia="Arial" w:hAnsi="Arial"/>
          <w:sz w:val="22"/>
          <w:szCs w:val="22"/>
        </w:rPr>
        <w:t xml:space="preserve">Modelos de metapopulação para dinâmicas espaciais inter-regionais</w:t>
      </w:r>
    </w:p>
    <w:p>
      <w:pPr>
        <w:pStyle w:val="ListParagraph"/>
        <w:numPr>
          <w:ilvl w:val="0"/>
          <w:numId w:val="2"/>
        </w:numPr>
        <w:spacing w:after="80" w:before="40" w:line="260"/>
      </w:pPr>
      <w:r>
        <w:rPr>
          <w:rFonts w:ascii="Arial" w:cs="Arial" w:eastAsia="Arial" w:hAnsi="Arial"/>
          <w:sz w:val="22"/>
          <w:szCs w:val="22"/>
        </w:rPr>
        <w:t xml:space="preserve">Inferência bayesiana dos parâmetros com dados observacionais</w:t>
      </w:r>
    </w:p>
    <w:p>
      <w:pPr>
        <w:pStyle w:val="ListParagraph"/>
        <w:numPr>
          <w:ilvl w:val="0"/>
          <w:numId w:val="2"/>
        </w:numPr>
        <w:spacing w:after="80" w:before="40" w:line="260"/>
      </w:pPr>
      <w:r>
        <w:rPr>
          <w:rFonts w:ascii="Arial" w:cs="Arial" w:eastAsia="Arial" w:hAnsi="Arial"/>
          <w:sz w:val="22"/>
          <w:szCs w:val="22"/>
        </w:rPr>
        <w:t xml:space="preserve">Camada de ML/IA para forecasting de curto prazo</w:t>
      </w:r>
    </w:p>
    <w:p>
      <w:pPr>
        <w:pStyle w:val="ListParagraph"/>
        <w:numPr>
          <w:ilvl w:val="0"/>
          <w:numId w:val="2"/>
        </w:numPr>
        <w:spacing w:after="80" w:before="40" w:line="260"/>
      </w:pPr>
      <w:r>
        <w:rPr>
          <w:rFonts w:ascii="Arial" w:cs="Arial" w:eastAsia="Arial" w:hAnsi="Arial"/>
          <w:sz w:val="22"/>
          <w:szCs w:val="22"/>
        </w:rPr>
        <w:t xml:space="preserve">Internacionalização (i18n) e versão mobile-first</w:t>
      </w:r>
    </w:p>
    <w:p>
      <w:r>
        <w:br w:type="page"/>
      </w:r>
    </w:p>
    <w:p>
      <w:pPr>
        <w:pStyle w:val="Heading1"/>
        <w:spacing w:after="160" w:before="320"/>
      </w:pPr>
      <w:r>
        <w:rPr>
          <w:rFonts w:ascii="Arial" w:cs="Arial" w:eastAsia="Arial" w:hAnsi="Arial"/>
          <w:b/>
          <w:bCs/>
          <w:color w:val="1a3a5c"/>
          <w:sz w:val="28"/>
          <w:szCs w:val="28"/>
        </w:rPr>
        <w:t xml:space="preserve">6. Conclusão</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O EpiSim Pro representa uma contribuição concreta para o campo da epidemiologia computacional aplicada, combinando rigor matemático — com implementação fiel do sistema de EDOs do modelo SEIRD+V, solver RK4 e análise de Monte Carlo — com acessibilidade tecnológica, por meio de uma interface web intuitiva, responsiva e sem necessidade de instalação.</w:t>
      </w:r>
    </w:p>
    <w:p>
      <w:pPr>
        <w:spacing w:after="160" w:before="0" w:line="276"/>
        <w:jc w:val="both"/>
      </w:pPr>
      <w:r>
        <w:rPr>
          <w:rFonts w:ascii="Arial" w:cs="Arial" w:eastAsia="Arial" w:hAnsi="Arial"/>
          <w:b w:val="false"/>
          <w:bCs w:val="false"/>
          <w:i w:val="false"/>
          <w:iCs w:val="false"/>
          <w:color w:val="000000"/>
          <w:sz w:val="22"/>
          <w:szCs w:val="22"/>
        </w:rPr>
        <w:t xml:space="preserve">A plataforma demonstra que é possível construir ferramentas científicas de qualidade utilizando tecnologias web modernas (React, Recharts) sem recorrer a stacks especializadas em computação científica, democratizando o acesso a simulações epidemiológicas para educadores, estudantes e gestores de saúde pública.</w:t>
      </w:r>
    </w:p>
    <w:p>
      <w:pPr>
        <w:spacing w:after="160" w:before="0" w:line="276"/>
        <w:jc w:val="both"/>
      </w:pPr>
      <w:r>
        <w:rPr>
          <w:rFonts w:ascii="Arial" w:cs="Arial" w:eastAsia="Arial" w:hAnsi="Arial"/>
          <w:b w:val="false"/>
          <w:bCs w:val="false"/>
          <w:i w:val="false"/>
          <w:iCs w:val="false"/>
          <w:color w:val="000000"/>
          <w:sz w:val="22"/>
          <w:szCs w:val="22"/>
        </w:rPr>
        <w:t xml:space="preserve">A publicação do código-fonte no GitHub, acompanhada de documentação técnica detalhada, permite que outros pesquisadores reproduzam, estendam e validem os resultados apresentados, em conformidade com os princípios de ciência aberta e reprodutibilidade científica (Nosek et al., 2015).</w:t>
      </w:r>
    </w:p>
    <w:p>
      <w:pPr>
        <w:spacing w:after="160" w:before="0" w:line="276"/>
        <w:jc w:val="both"/>
      </w:pPr>
      <w:r>
        <w:rPr>
          <w:rFonts w:ascii="Arial" w:cs="Arial" w:eastAsia="Arial" w:hAnsi="Arial"/>
          <w:b w:val="false"/>
          <w:bCs w:val="false"/>
          <w:i w:val="false"/>
          <w:iCs w:val="false"/>
          <w:color w:val="000000"/>
          <w:sz w:val="22"/>
          <w:szCs w:val="22"/>
        </w:rPr>
        <w:t xml:space="preserve">Espera-se que o EpiSim Pro contribua para o fortalecimento da cultura de modelagem matemática no contexto brasileiro de saúde pública, e que sirva como base para desenvolvimentos futuros que incorporem dados reais, heterogeneidades populacionais e técnicas modernas de inferência estatística.</w:t>
      </w:r>
    </w:p>
    <w:p>
      <w:r>
        <w:br w:type="page"/>
      </w:r>
    </w:p>
    <w:p>
      <w:pPr>
        <w:pStyle w:val="Heading1"/>
        <w:spacing w:after="160" w:before="320"/>
      </w:pPr>
      <w:r>
        <w:rPr>
          <w:rFonts w:ascii="Arial" w:cs="Arial" w:eastAsia="Arial" w:hAnsi="Arial"/>
          <w:b/>
          <w:bCs/>
          <w:color w:val="1a3a5c"/>
          <w:sz w:val="28"/>
          <w:szCs w:val="28"/>
        </w:rPr>
        <w:t xml:space="preserve">Referências Bibliográficas</w:t>
      </w:r>
    </w:p>
    <w:p>
      <w:pPr>
        <w:pBdr>
          <w:bottom w:val="single" w:color="2c5f8a" w:sz="4" w:space="1"/>
        </w:pBdr>
        <w:spacing w:after="120" w:before="120"/>
      </w:pPr>
      <w:r>
        <w:rPr>
          <w:rFonts w:ascii="Arial" w:cs="Arial" w:eastAsia="Arial" w:hAnsi="Arial"/>
          <w:sz w:val="4"/>
          <w:szCs w:val="4"/>
        </w:rPr>
        <w:t xml:space="preserve"/>
      </w:r>
    </w:p>
    <w:p>
      <w:pPr>
        <w:spacing w:after="10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ANDERSON, R. M.; MAY, R. M. Infectious Diseases of Humans: Dynamics and Control. Oxford: Oxford University Press, 1991.</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BIGGERSTAFF, M. et al. Estimates of the reproduction number for seasonal, pandemic, and zoonotic influenza: a systematic review of the literature. BMC Infectious Diseases, v. 14, p. 480, 2014.</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CHOWELL, G. et al. The basic reproductive number of Ebola and the effects of public health measures: the cases of Congo and Uganda. Journal of Theoretical Biology, v. 229, n. 1, p. 119–126, 2004.</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CONSELHO FEDERAL DE MEDICINA (CFM). Radiografia dos hospitais brasileiros. Brasília: CFM, 2023.</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CORI, A. et al. A New Framework and Software to Estimate Time-Varying Reproduction Numbers During Epidemics. American Journal of Epidemiology, v. 178, n. 9, p. 1505–1512, 2013.</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DIEKMANN, O.; HEESTERBEEK, J. A. P. Mathematical Epidemiology of Infectious Diseases. Chichester: Wiley, 2000.</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FERGUSON, N. M. et al. Report 9: Impact of non-pharmaceutical interventions (NPIs) to reduce COVID-19 mortality and healthcare demand. Imperial College London, 2020.</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FLAXMAN, S. et al. Estimating the effects of non-pharmaceutical interventions on COVID-19 in Europe. Nature, v. 584, p. 257–261, 2020.</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GUERRA, F. M. et al. The basic reproduction number (R0) of measles: a systematic review. The Lancet Infectious Diseases, v. 17, n. 12, p. e420–e428, 2017.</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HE, X. et al. Temporal dynamics in viral shedding and transmissibility of COVID-19. Nature Medicine, v. 26, p. 672–675, 2020.</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HETHCOTE, H. W. The Mathematics of Infectious Diseases. SIAM Review, v. 42, n. 4, p. 599–653, 2000.</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ITO, K. et al. Estimated COVID-19 risk from Omicron in Japan. The Lancet Regional Health — Western Pacific, v. 21, 2022.</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KERMACK, W. O.; McKENDRICK, A. G. A Contribution to the Mathematical Theory of Epidemics. Proceedings of the Royal Society A, v. 115, n. 772, p. 700–721, 1927.</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NIELSEN, J. Usability Engineering. San Francisco: Morgan Kaufmann, 1994.</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NOSEK, B. A. et al. Promoting an open research culture. Science, v. 348, n. 6242, p. 1422–1425, 2015.</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PRESS, W. H. et al. Numerical Recipes: The Art of Scientific Computing. 3. ed. Cambridge: Cambridge University Press, 2007.</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SALTELLI, A. et al. Global Sensitivity Analysis: The Primer. Chichester: Wiley, 2008.</w:t>
      </w:r>
    </w:p>
    <w:p>
      <w:pPr>
        <w:spacing w:after="60" w:before="0"/>
      </w:pPr>
      <w:r>
        <w:rPr>
          <w:sz w:val="4"/>
          <w:szCs w:val="4"/>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TUFTE, E. R. The Visual Display of Quantitative Information. 2. ed. Cheshire: Graphics Press, 2001.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spacing w:before="120"/>
      <w:jc w:val="center"/>
    </w:pPr>
    <w:r>
      <w:rPr>
        <w:rFonts w:ascii="Arial" w:cs="Arial" w:eastAsia="Arial" w:hAnsi="Arial"/>
        <w:color w:val="888888"/>
        <w:sz w:val="18"/>
        <w:szCs w:val="18"/>
      </w:rPr>
      <w:t xml:space="preserve">Página </w:t>
    </w:r>
    <w:fldSimple w:instr="[object Object]"/>
    <w:r>
      <w:rPr>
        <w:rFonts w:ascii="Arial" w:cs="Arial" w:eastAsia="Arial" w:hAnsi="Arial"/>
        <w:color w:val="888888"/>
        <w:sz w:val="18"/>
        <w:szCs w:val="18"/>
      </w:rPr>
      <w:t xml:space="preserve">  |  EpiSim Pro © 2025  |  Universidade Federal Rural de Pernambuco — UFRPE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spacing w:after="160"/>
      <w:jc w:val="right"/>
    </w:pPr>
    <w:r>
      <w:rPr>
        <w:rFonts w:ascii="Arial" w:cs="Arial" w:eastAsia="Arial" w:hAnsi="Arial"/>
        <w:i/>
        <w:iCs/>
        <w:color w:val="888888"/>
        <w:sz w:val="18"/>
        <w:szCs w:val="18"/>
      </w:rPr>
      <w:t xml:space="preserve">EpiSim Pro: Plataforma de Modelagem Epidemiológica — Artigo Científico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5c"/>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2026-05-04T21:04:30.375Z</dcterms:created>
  <dcterms:modified xsi:type="dcterms:W3CDTF">2026-05-04T21:04:30.376Z</dcterms:modified>
</cp:coreProperties>
</file>

<file path=docProps/custom.xml><?xml version="1.0" encoding="utf-8"?>
<Properties xmlns="http://schemas.openxmlformats.org/officeDocument/2006/custom-properties" xmlns:vt="http://schemas.openxmlformats.org/officeDocument/2006/docPropsVTypes"/>
</file>