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711"/>
        <w:gridCol w:w="7117"/>
        <w:tblGridChange w:id="0">
          <w:tblGrid>
            <w:gridCol w:w="1711"/>
            <w:gridCol w:w="7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Filtrar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Jefatura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Jefatura autenticada; existen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Aplicar filtros avanzados para acotar el conjunto de reportes a analizar.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La jefatura abre el módulo de reportes.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Define criterios (fecha, tipo, sector, prioridad, estado, etc.).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ejecuta la consulta y muestra resultados filtrados.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Conjunto de reportes filtrados disponible para análisis o acciones.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id w:val="-173728016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Criterios contradictorios / sin coincidencias → lista vacía + aviso.</w:t>
                </w:r>
              </w:sdtContent>
            </w:sdt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1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pH9aaLR8M67uu+zxQoh80baDXw==">CgMxLjAaJAoBMBIfCh0IB0IZCgVBcmlhbBIQQXJpYWwgVW5pY29kZSBNUzgAciExWjVYTXBYSWN2b3VpaE5VVUJnSXg2eU51RXBpNnFGRDY=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2025-09-22T17:47:00Z</dcterms:created>
  <dc:creator>CETECOM</dc:creator>
</cp:coreProperties>
</file>