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Layout w:type="fixed"/>
        <w:tblLook w:val="0400"/>
      </w:tblPr>
      <w:tblGrid>
        <w:gridCol w:w="1711"/>
        <w:gridCol w:w="7117"/>
        <w:tblGridChange w:id="0">
          <w:tblGrid>
            <w:gridCol w:w="1711"/>
            <w:gridCol w:w="71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CU-1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Ver Mapa de Calor de Incidentes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Jefatura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Jefatura autenticada; incidentes registrados con ubicación.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Representar espacialmente la frecuencia de incidentes en un mapa de calor..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La jefatura accede al módulo geográfico.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Selecciona rango de fechas y tipo de incidentes.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El sistema procesa y genera el mapa de calor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El sistema muestra la visualización con zonas críticas resaltadas.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Se obtiene un mapa de calor para identificar puntos críticos.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sdt>
              <w:sdtPr>
                <w:id w:val="205760538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No hay incidentes para los filtros aplicados → mapa vacío con aviso.</w:t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AB19E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lHJVtqv97YBqcXme7atbl71N0A==">CgMxLjAaJAoBMBIfCh0IB0IZCgVBcmlhbBIQQXJpYWwgVW5pY29kZSBNUzgAciExUjBFRVNlQnlDc3NGMkh6NFhmNlVENDM1MWhzS3FYXzk=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2025-09-22T17:47:00Z</dcterms:created>
  <dc:creator>CETECOM</dc:creator>
</cp:coreProperties>
</file>