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F539" w14:textId="77777777" w:rsidR="006C55D2" w:rsidRPr="00DD439E" w:rsidRDefault="006C55D2" w:rsidP="006C55D2"/>
    <w:p w14:paraId="39B8859E" w14:textId="77777777" w:rsidR="006C55D2" w:rsidRPr="00DD439E" w:rsidRDefault="006C55D2" w:rsidP="006C55D2"/>
    <w:p w14:paraId="76EAC640" w14:textId="77777777" w:rsidR="006C55D2" w:rsidRPr="00DD439E" w:rsidRDefault="006C55D2" w:rsidP="006C55D2"/>
    <w:p w14:paraId="27C48CDF" w14:textId="77777777" w:rsidR="006C55D2" w:rsidRPr="00DD439E" w:rsidRDefault="006C55D2" w:rsidP="006C55D2">
      <w:pPr>
        <w:jc w:val="center"/>
      </w:pPr>
    </w:p>
    <w:p w14:paraId="3A5D1829" w14:textId="77777777" w:rsidR="006C55D2" w:rsidRPr="00DD439E" w:rsidRDefault="006C55D2" w:rsidP="006C55D2">
      <w:pPr>
        <w:jc w:val="center"/>
        <w:rPr>
          <w:rFonts w:eastAsia="Calibri"/>
          <w:sz w:val="32"/>
          <w:szCs w:val="32"/>
        </w:rPr>
      </w:pPr>
      <w:r w:rsidRPr="00DD439E">
        <w:rPr>
          <w:rFonts w:eastAsia="Calibri"/>
          <w:noProof/>
          <w:sz w:val="22"/>
          <w:szCs w:val="20"/>
        </w:rPr>
        <w:drawing>
          <wp:anchor distT="0" distB="0" distL="114300" distR="114300" simplePos="0" relativeHeight="251659264" behindDoc="0" locked="0" layoutInCell="1" allowOverlap="1" wp14:anchorId="520A9286" wp14:editId="7AA3FB83">
            <wp:simplePos x="0" y="0"/>
            <wp:positionH relativeFrom="margin">
              <wp:align>left</wp:align>
            </wp:positionH>
            <wp:positionV relativeFrom="margin">
              <wp:posOffset>-318770</wp:posOffset>
            </wp:positionV>
            <wp:extent cx="1433195" cy="763905"/>
            <wp:effectExtent l="0" t="0" r="0" b="0"/>
            <wp:wrapSquare wrapText="bothSides"/>
            <wp:docPr id="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3195" cy="763905"/>
                    </a:xfrm>
                    <a:prstGeom prst="rect">
                      <a:avLst/>
                    </a:prstGeom>
                    <a:noFill/>
                  </pic:spPr>
                </pic:pic>
              </a:graphicData>
            </a:graphic>
            <wp14:sizeRelH relativeFrom="margin">
              <wp14:pctWidth>0</wp14:pctWidth>
            </wp14:sizeRelH>
            <wp14:sizeRelV relativeFrom="margin">
              <wp14:pctHeight>0</wp14:pctHeight>
            </wp14:sizeRelV>
          </wp:anchor>
        </w:drawing>
      </w:r>
      <w:r w:rsidRPr="00DD439E">
        <w:rPr>
          <w:rFonts w:eastAsia="Calibri"/>
          <w:noProof/>
          <w:sz w:val="22"/>
          <w:szCs w:val="20"/>
        </w:rPr>
        <w:drawing>
          <wp:anchor distT="0" distB="0" distL="114300" distR="114300" simplePos="0" relativeHeight="251660288" behindDoc="0" locked="0" layoutInCell="1" allowOverlap="1" wp14:anchorId="7FF4D2D0" wp14:editId="6E486A13">
            <wp:simplePos x="0" y="0"/>
            <wp:positionH relativeFrom="margin">
              <wp:align>right</wp:align>
            </wp:positionH>
            <wp:positionV relativeFrom="margin">
              <wp:posOffset>-349885</wp:posOffset>
            </wp:positionV>
            <wp:extent cx="1960245" cy="899160"/>
            <wp:effectExtent l="0" t="0" r="1905" b="0"/>
            <wp:wrapSquare wrapText="bothSides"/>
            <wp:docPr id="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0245" cy="899160"/>
                    </a:xfrm>
                    <a:prstGeom prst="rect">
                      <a:avLst/>
                    </a:prstGeom>
                    <a:noFill/>
                  </pic:spPr>
                </pic:pic>
              </a:graphicData>
            </a:graphic>
            <wp14:sizeRelH relativeFrom="margin">
              <wp14:pctWidth>0</wp14:pctWidth>
            </wp14:sizeRelH>
            <wp14:sizeRelV relativeFrom="margin">
              <wp14:pctHeight>0</wp14:pctHeight>
            </wp14:sizeRelV>
          </wp:anchor>
        </w:drawing>
      </w:r>
    </w:p>
    <w:p w14:paraId="2074ABDF" w14:textId="77777777" w:rsidR="006C55D2" w:rsidRPr="00DD439E" w:rsidRDefault="006C55D2" w:rsidP="006C55D2">
      <w:pPr>
        <w:jc w:val="both"/>
        <w:rPr>
          <w:rFonts w:eastAsia="Calibri"/>
          <w:sz w:val="32"/>
          <w:szCs w:val="32"/>
        </w:rPr>
      </w:pPr>
    </w:p>
    <w:p w14:paraId="36F24EB9" w14:textId="77777777" w:rsidR="006C55D2" w:rsidRPr="000B6C36" w:rsidRDefault="006C55D2" w:rsidP="006C55D2">
      <w:pPr>
        <w:jc w:val="center"/>
        <w:rPr>
          <w:rFonts w:eastAsia="Calibri"/>
          <w:b/>
          <w:bCs/>
          <w:sz w:val="32"/>
          <w:szCs w:val="32"/>
        </w:rPr>
      </w:pPr>
      <w:r w:rsidRPr="000B6C36">
        <w:rPr>
          <w:rFonts w:eastAsia="Calibri"/>
          <w:b/>
          <w:bCs/>
          <w:sz w:val="32"/>
          <w:szCs w:val="32"/>
        </w:rPr>
        <w:t>Universidad Politécnica de Pénjamo</w:t>
      </w:r>
    </w:p>
    <w:p w14:paraId="08C2D857" w14:textId="77777777" w:rsidR="006C55D2" w:rsidRPr="000B6C36" w:rsidRDefault="006C55D2" w:rsidP="006C55D2">
      <w:pPr>
        <w:jc w:val="center"/>
        <w:rPr>
          <w:rFonts w:eastAsia="Calibri"/>
          <w:b/>
          <w:bCs/>
          <w:sz w:val="32"/>
          <w:szCs w:val="32"/>
        </w:rPr>
      </w:pPr>
    </w:p>
    <w:p w14:paraId="35F23FDF" w14:textId="77777777" w:rsidR="006C55D2" w:rsidRPr="000B6C36" w:rsidRDefault="006C55D2" w:rsidP="006C55D2">
      <w:pPr>
        <w:jc w:val="both"/>
        <w:rPr>
          <w:rFonts w:eastAsia="Calibri"/>
          <w:b/>
          <w:bCs/>
          <w:sz w:val="32"/>
          <w:szCs w:val="32"/>
        </w:rPr>
      </w:pPr>
    </w:p>
    <w:p w14:paraId="298925AE" w14:textId="77777777" w:rsidR="006C55D2" w:rsidRPr="000B6C36" w:rsidRDefault="006C55D2" w:rsidP="006C55D2">
      <w:pPr>
        <w:jc w:val="center"/>
        <w:rPr>
          <w:rFonts w:eastAsia="Calibri"/>
          <w:b/>
          <w:bCs/>
          <w:sz w:val="32"/>
          <w:szCs w:val="32"/>
        </w:rPr>
      </w:pPr>
    </w:p>
    <w:p w14:paraId="0D774B9F" w14:textId="77777777" w:rsidR="006C55D2" w:rsidRPr="000B6C36" w:rsidRDefault="006C55D2" w:rsidP="006C55D2">
      <w:pPr>
        <w:jc w:val="center"/>
        <w:rPr>
          <w:rFonts w:eastAsia="Calibri"/>
          <w:b/>
          <w:bCs/>
          <w:sz w:val="22"/>
          <w:szCs w:val="20"/>
        </w:rPr>
      </w:pPr>
      <w:r w:rsidRPr="000B6C36">
        <w:rPr>
          <w:rFonts w:eastAsia="Calibri"/>
          <w:b/>
          <w:bCs/>
          <w:sz w:val="22"/>
          <w:szCs w:val="20"/>
        </w:rPr>
        <w:t>Licenciatura en Ingeniería en Software</w:t>
      </w:r>
    </w:p>
    <w:p w14:paraId="349CCA36" w14:textId="77777777" w:rsidR="006C55D2" w:rsidRPr="000B6C36" w:rsidRDefault="006C55D2" w:rsidP="006C55D2">
      <w:pPr>
        <w:jc w:val="center"/>
        <w:rPr>
          <w:rFonts w:eastAsia="Calibri"/>
          <w:b/>
          <w:bCs/>
          <w:sz w:val="22"/>
          <w:szCs w:val="20"/>
        </w:rPr>
      </w:pPr>
    </w:p>
    <w:p w14:paraId="7E063CF9" w14:textId="77777777" w:rsidR="006C55D2" w:rsidRPr="00DD439E" w:rsidRDefault="006C55D2" w:rsidP="006C55D2">
      <w:pPr>
        <w:jc w:val="center"/>
        <w:rPr>
          <w:rFonts w:eastAsia="Calibri"/>
          <w:sz w:val="22"/>
          <w:szCs w:val="20"/>
        </w:rPr>
      </w:pPr>
    </w:p>
    <w:p w14:paraId="505E27F9" w14:textId="77777777" w:rsidR="006C55D2" w:rsidRPr="00DD439E" w:rsidRDefault="006C55D2" w:rsidP="006C55D2">
      <w:pPr>
        <w:jc w:val="center"/>
        <w:rPr>
          <w:rFonts w:eastAsia="Calibri"/>
          <w:sz w:val="22"/>
          <w:szCs w:val="20"/>
        </w:rPr>
      </w:pPr>
    </w:p>
    <w:p w14:paraId="47305DB0" w14:textId="77777777" w:rsidR="006C55D2" w:rsidRPr="00DD439E" w:rsidRDefault="006C55D2" w:rsidP="006C55D2">
      <w:pPr>
        <w:jc w:val="center"/>
        <w:rPr>
          <w:rFonts w:eastAsia="Calibri"/>
          <w:sz w:val="22"/>
          <w:szCs w:val="20"/>
        </w:rPr>
      </w:pPr>
    </w:p>
    <w:p w14:paraId="258707CC" w14:textId="77777777" w:rsidR="006C55D2" w:rsidRPr="000B6C36" w:rsidRDefault="006C55D2" w:rsidP="006C55D2">
      <w:pPr>
        <w:jc w:val="center"/>
        <w:rPr>
          <w:rFonts w:eastAsia="Calibri"/>
          <w:b/>
          <w:bCs/>
          <w:sz w:val="22"/>
          <w:szCs w:val="20"/>
        </w:rPr>
      </w:pPr>
      <w:r w:rsidRPr="000B6C36">
        <w:rPr>
          <w:rFonts w:eastAsia="Calibri"/>
          <w:b/>
          <w:bCs/>
          <w:sz w:val="22"/>
          <w:szCs w:val="20"/>
        </w:rPr>
        <w:t>Nombre de la materia</w:t>
      </w:r>
    </w:p>
    <w:p w14:paraId="4842F54D" w14:textId="77777777" w:rsidR="006C55D2" w:rsidRPr="000B6C36" w:rsidRDefault="006C55D2" w:rsidP="006C55D2">
      <w:pPr>
        <w:jc w:val="center"/>
        <w:rPr>
          <w:rFonts w:eastAsia="Calibri"/>
          <w:b/>
          <w:bCs/>
          <w:sz w:val="22"/>
          <w:szCs w:val="20"/>
        </w:rPr>
      </w:pPr>
      <w:r w:rsidRPr="000B6C36">
        <w:rPr>
          <w:rFonts w:eastAsia="Calibri"/>
          <w:b/>
          <w:bCs/>
          <w:sz w:val="22"/>
          <w:szCs w:val="20"/>
        </w:rPr>
        <w:t>Arquitectura Orientada a Servicios</w:t>
      </w:r>
    </w:p>
    <w:p w14:paraId="4BC95CCB" w14:textId="77777777" w:rsidR="006C55D2" w:rsidRPr="000B6C36" w:rsidRDefault="006C55D2" w:rsidP="006C55D2">
      <w:pPr>
        <w:jc w:val="center"/>
        <w:rPr>
          <w:rFonts w:eastAsia="Calibri"/>
          <w:b/>
          <w:bCs/>
          <w:sz w:val="22"/>
          <w:szCs w:val="20"/>
        </w:rPr>
      </w:pPr>
    </w:p>
    <w:p w14:paraId="06F9BF13" w14:textId="77777777" w:rsidR="006C55D2" w:rsidRPr="000B6C36" w:rsidRDefault="006C55D2" w:rsidP="006C55D2">
      <w:pPr>
        <w:jc w:val="center"/>
        <w:rPr>
          <w:rFonts w:eastAsia="Calibri"/>
          <w:b/>
          <w:bCs/>
          <w:sz w:val="22"/>
          <w:szCs w:val="20"/>
        </w:rPr>
      </w:pPr>
    </w:p>
    <w:p w14:paraId="362401E3" w14:textId="77777777" w:rsidR="006C55D2" w:rsidRPr="000B6C36" w:rsidRDefault="006C55D2" w:rsidP="006C55D2">
      <w:pPr>
        <w:jc w:val="center"/>
        <w:rPr>
          <w:rFonts w:eastAsia="Calibri"/>
          <w:b/>
          <w:bCs/>
          <w:sz w:val="22"/>
          <w:szCs w:val="20"/>
        </w:rPr>
      </w:pPr>
    </w:p>
    <w:p w14:paraId="1E692DF8" w14:textId="77777777" w:rsidR="006C55D2" w:rsidRPr="000B6C36" w:rsidRDefault="006C55D2" w:rsidP="006C55D2">
      <w:pPr>
        <w:jc w:val="center"/>
        <w:rPr>
          <w:rFonts w:eastAsia="Calibri"/>
          <w:b/>
          <w:bCs/>
          <w:sz w:val="22"/>
          <w:szCs w:val="20"/>
        </w:rPr>
      </w:pPr>
    </w:p>
    <w:p w14:paraId="44154807" w14:textId="77777777" w:rsidR="006C55D2" w:rsidRPr="000B6C36" w:rsidRDefault="006C55D2" w:rsidP="006C55D2">
      <w:pPr>
        <w:jc w:val="center"/>
        <w:rPr>
          <w:rFonts w:eastAsia="Calibri"/>
          <w:b/>
          <w:bCs/>
          <w:sz w:val="32"/>
          <w:szCs w:val="32"/>
        </w:rPr>
      </w:pPr>
      <w:r w:rsidRPr="000B6C36">
        <w:rPr>
          <w:rFonts w:eastAsia="Calibri"/>
          <w:b/>
          <w:bCs/>
          <w:sz w:val="32"/>
          <w:szCs w:val="32"/>
        </w:rPr>
        <w:t xml:space="preserve">“Propuesta de Proyecto Final: Plataforma de </w:t>
      </w:r>
      <w:proofErr w:type="spellStart"/>
      <w:r w:rsidRPr="000B6C36">
        <w:rPr>
          <w:rFonts w:eastAsia="Calibri"/>
          <w:b/>
          <w:bCs/>
          <w:sz w:val="32"/>
          <w:szCs w:val="32"/>
        </w:rPr>
        <w:t>Streaming</w:t>
      </w:r>
      <w:proofErr w:type="spellEnd"/>
      <w:r w:rsidRPr="000B6C36">
        <w:rPr>
          <w:rFonts w:eastAsia="Calibri"/>
          <w:b/>
          <w:bCs/>
          <w:sz w:val="32"/>
          <w:szCs w:val="32"/>
        </w:rPr>
        <w:t xml:space="preserve"> basada en Arquitectura de Microservicios”</w:t>
      </w:r>
    </w:p>
    <w:p w14:paraId="7F791293" w14:textId="77777777" w:rsidR="006C55D2" w:rsidRPr="00DD439E" w:rsidRDefault="006C55D2" w:rsidP="006C55D2">
      <w:pPr>
        <w:jc w:val="center"/>
        <w:rPr>
          <w:rFonts w:eastAsia="Calibri"/>
          <w:sz w:val="22"/>
          <w:szCs w:val="20"/>
        </w:rPr>
      </w:pPr>
    </w:p>
    <w:p w14:paraId="62CA9008" w14:textId="77777777" w:rsidR="006C55D2" w:rsidRPr="00DD439E" w:rsidRDefault="006C55D2" w:rsidP="006C55D2">
      <w:pPr>
        <w:jc w:val="center"/>
        <w:rPr>
          <w:rFonts w:eastAsia="Calibri"/>
          <w:sz w:val="22"/>
          <w:szCs w:val="20"/>
        </w:rPr>
      </w:pPr>
    </w:p>
    <w:p w14:paraId="10045BD9" w14:textId="77777777" w:rsidR="006C55D2" w:rsidRPr="00DD439E" w:rsidRDefault="006C55D2" w:rsidP="006C55D2">
      <w:pPr>
        <w:jc w:val="center"/>
        <w:rPr>
          <w:rFonts w:eastAsia="Calibri"/>
          <w:sz w:val="22"/>
          <w:szCs w:val="20"/>
        </w:rPr>
      </w:pPr>
    </w:p>
    <w:p w14:paraId="12445E9D" w14:textId="77777777" w:rsidR="006C55D2" w:rsidRPr="00DD439E" w:rsidRDefault="006C55D2" w:rsidP="006C55D2">
      <w:pPr>
        <w:jc w:val="center"/>
        <w:rPr>
          <w:rFonts w:eastAsia="Calibri"/>
          <w:sz w:val="22"/>
          <w:szCs w:val="20"/>
        </w:rPr>
      </w:pPr>
    </w:p>
    <w:p w14:paraId="63EE6B26" w14:textId="77777777" w:rsidR="006C55D2" w:rsidRPr="00DD439E" w:rsidRDefault="006C55D2" w:rsidP="006C55D2">
      <w:pPr>
        <w:jc w:val="both"/>
        <w:rPr>
          <w:rFonts w:eastAsia="Calibri"/>
          <w:sz w:val="22"/>
          <w:szCs w:val="20"/>
        </w:rPr>
      </w:pPr>
      <w:r w:rsidRPr="00DD439E">
        <w:rPr>
          <w:rFonts w:eastAsia="Calibri"/>
          <w:sz w:val="22"/>
          <w:szCs w:val="20"/>
        </w:rPr>
        <w:t xml:space="preserve">    </w:t>
      </w:r>
    </w:p>
    <w:p w14:paraId="4C9180E6" w14:textId="77777777" w:rsidR="006C55D2" w:rsidRPr="000B6C36" w:rsidRDefault="006C55D2" w:rsidP="006C55D2">
      <w:pPr>
        <w:jc w:val="center"/>
        <w:rPr>
          <w:rFonts w:eastAsia="Calibri"/>
          <w:b/>
          <w:bCs/>
          <w:sz w:val="22"/>
          <w:szCs w:val="20"/>
        </w:rPr>
      </w:pPr>
      <w:r w:rsidRPr="000B6C36">
        <w:rPr>
          <w:rFonts w:eastAsia="Calibri"/>
          <w:b/>
          <w:bCs/>
          <w:sz w:val="22"/>
          <w:szCs w:val="20"/>
        </w:rPr>
        <w:t>Nombres de los alumnos:</w:t>
      </w:r>
    </w:p>
    <w:p w14:paraId="050AC735" w14:textId="77777777" w:rsidR="006C55D2" w:rsidRPr="000B6C36" w:rsidRDefault="006C55D2" w:rsidP="006C55D2">
      <w:pPr>
        <w:jc w:val="center"/>
        <w:rPr>
          <w:rFonts w:eastAsia="Calibri"/>
          <w:b/>
          <w:bCs/>
          <w:sz w:val="22"/>
          <w:szCs w:val="20"/>
        </w:rPr>
      </w:pPr>
      <w:r w:rsidRPr="000B6C36">
        <w:rPr>
          <w:rFonts w:eastAsia="Calibri"/>
          <w:b/>
          <w:bCs/>
          <w:sz w:val="22"/>
          <w:szCs w:val="20"/>
        </w:rPr>
        <w:t>Brayan Renato Bravo Castro</w:t>
      </w:r>
    </w:p>
    <w:p w14:paraId="0988F2F5" w14:textId="5147D7A9" w:rsidR="006C55D2" w:rsidRPr="000B6C36" w:rsidRDefault="006C55D2" w:rsidP="006C55D2">
      <w:pPr>
        <w:jc w:val="center"/>
        <w:rPr>
          <w:rFonts w:eastAsia="Calibri"/>
          <w:b/>
          <w:bCs/>
          <w:sz w:val="22"/>
          <w:szCs w:val="20"/>
        </w:rPr>
      </w:pPr>
      <w:r w:rsidRPr="000B6C36">
        <w:rPr>
          <w:rFonts w:eastAsia="Calibri"/>
          <w:b/>
          <w:bCs/>
          <w:sz w:val="22"/>
          <w:szCs w:val="20"/>
        </w:rPr>
        <w:t>Bryan González Martínez</w:t>
      </w:r>
    </w:p>
    <w:p w14:paraId="65DD450B" w14:textId="77777777" w:rsidR="006C55D2" w:rsidRPr="000B6C36" w:rsidRDefault="006C55D2" w:rsidP="006C55D2">
      <w:pPr>
        <w:jc w:val="center"/>
        <w:rPr>
          <w:rFonts w:eastAsia="Calibri"/>
          <w:b/>
          <w:bCs/>
          <w:sz w:val="22"/>
          <w:szCs w:val="20"/>
        </w:rPr>
      </w:pPr>
      <w:r w:rsidRPr="000B6C36">
        <w:rPr>
          <w:rFonts w:eastAsia="Calibri"/>
          <w:b/>
          <w:bCs/>
          <w:sz w:val="22"/>
          <w:szCs w:val="20"/>
        </w:rPr>
        <w:t>Angel Daniel Oblea Saldaña</w:t>
      </w:r>
    </w:p>
    <w:p w14:paraId="74AE9EFE" w14:textId="77777777" w:rsidR="006C55D2" w:rsidRPr="00DD439E" w:rsidRDefault="006C55D2" w:rsidP="006C55D2">
      <w:pPr>
        <w:jc w:val="both"/>
        <w:rPr>
          <w:rFonts w:eastAsia="Calibri"/>
          <w:sz w:val="22"/>
          <w:szCs w:val="20"/>
        </w:rPr>
      </w:pPr>
    </w:p>
    <w:p w14:paraId="6A167AF8" w14:textId="77777777" w:rsidR="006C55D2" w:rsidRPr="00DD439E" w:rsidRDefault="006C55D2" w:rsidP="006C55D2">
      <w:pPr>
        <w:jc w:val="both"/>
        <w:rPr>
          <w:rFonts w:eastAsia="Calibri"/>
          <w:sz w:val="22"/>
          <w:szCs w:val="20"/>
        </w:rPr>
      </w:pPr>
    </w:p>
    <w:p w14:paraId="7B78704E" w14:textId="77777777" w:rsidR="006C55D2" w:rsidRPr="00DD439E" w:rsidRDefault="006C55D2" w:rsidP="006C55D2">
      <w:pPr>
        <w:jc w:val="both"/>
        <w:rPr>
          <w:rFonts w:eastAsia="Calibri"/>
          <w:sz w:val="22"/>
          <w:szCs w:val="20"/>
        </w:rPr>
      </w:pPr>
    </w:p>
    <w:p w14:paraId="567955F9" w14:textId="77777777" w:rsidR="006C55D2" w:rsidRPr="00DD439E" w:rsidRDefault="006C55D2" w:rsidP="006C55D2">
      <w:pPr>
        <w:jc w:val="both"/>
        <w:rPr>
          <w:rFonts w:eastAsia="Calibri"/>
          <w:sz w:val="22"/>
          <w:szCs w:val="20"/>
        </w:rPr>
      </w:pPr>
    </w:p>
    <w:p w14:paraId="07E41231" w14:textId="77777777" w:rsidR="006C55D2" w:rsidRPr="00DD439E" w:rsidRDefault="006C55D2" w:rsidP="006C55D2">
      <w:pPr>
        <w:jc w:val="center"/>
        <w:rPr>
          <w:rFonts w:eastAsia="Calibri"/>
          <w:sz w:val="22"/>
          <w:szCs w:val="20"/>
        </w:rPr>
      </w:pPr>
    </w:p>
    <w:p w14:paraId="539AA862" w14:textId="332659C9" w:rsidR="006C55D2" w:rsidRPr="000B6C36" w:rsidRDefault="006C55D2" w:rsidP="006C55D2">
      <w:pPr>
        <w:jc w:val="center"/>
        <w:rPr>
          <w:rFonts w:eastAsia="Calibri"/>
          <w:b/>
          <w:bCs/>
          <w:szCs w:val="22"/>
        </w:rPr>
      </w:pPr>
      <w:r w:rsidRPr="000B6C36">
        <w:rPr>
          <w:rFonts w:eastAsia="Calibri"/>
          <w:b/>
          <w:bCs/>
          <w:szCs w:val="22"/>
        </w:rPr>
        <w:t>Nombre d</w:t>
      </w:r>
      <w:r w:rsidR="0006394C">
        <w:rPr>
          <w:rFonts w:eastAsia="Calibri"/>
          <w:b/>
          <w:bCs/>
          <w:szCs w:val="22"/>
        </w:rPr>
        <w:t>el</w:t>
      </w:r>
      <w:r w:rsidRPr="000B6C36">
        <w:rPr>
          <w:rFonts w:eastAsia="Calibri"/>
          <w:b/>
          <w:bCs/>
          <w:szCs w:val="22"/>
        </w:rPr>
        <w:t xml:space="preserve"> profesor</w:t>
      </w:r>
      <w:r w:rsidR="0006394C">
        <w:rPr>
          <w:rFonts w:eastAsia="Calibri"/>
          <w:b/>
          <w:bCs/>
          <w:szCs w:val="22"/>
        </w:rPr>
        <w:t>:</w:t>
      </w:r>
    </w:p>
    <w:p w14:paraId="6F3A957C" w14:textId="77777777" w:rsidR="006C55D2" w:rsidRPr="000B6C36" w:rsidRDefault="006C55D2" w:rsidP="006C55D2">
      <w:pPr>
        <w:tabs>
          <w:tab w:val="left" w:pos="6620"/>
        </w:tabs>
        <w:jc w:val="center"/>
        <w:rPr>
          <w:rFonts w:eastAsia="Calibri"/>
          <w:b/>
          <w:bCs/>
          <w:szCs w:val="22"/>
        </w:rPr>
      </w:pPr>
      <w:r w:rsidRPr="000B6C36">
        <w:rPr>
          <w:rFonts w:eastAsia="Calibri"/>
          <w:b/>
          <w:bCs/>
          <w:szCs w:val="22"/>
        </w:rPr>
        <w:t>José Luis Vargas Rodríguez</w:t>
      </w:r>
    </w:p>
    <w:p w14:paraId="3585A6BD" w14:textId="77777777" w:rsidR="006C55D2" w:rsidRPr="00DD439E" w:rsidRDefault="006C55D2" w:rsidP="006C55D2">
      <w:pPr>
        <w:tabs>
          <w:tab w:val="left" w:pos="6620"/>
        </w:tabs>
        <w:jc w:val="both"/>
        <w:rPr>
          <w:rFonts w:eastAsia="Calibri"/>
          <w:sz w:val="22"/>
          <w:szCs w:val="20"/>
        </w:rPr>
      </w:pPr>
    </w:p>
    <w:p w14:paraId="635A81B1" w14:textId="77777777" w:rsidR="006C55D2" w:rsidRPr="00DD439E" w:rsidRDefault="006C55D2" w:rsidP="006C55D2">
      <w:pPr>
        <w:tabs>
          <w:tab w:val="left" w:pos="6620"/>
        </w:tabs>
        <w:jc w:val="both"/>
        <w:rPr>
          <w:rFonts w:eastAsia="Calibri"/>
          <w:sz w:val="22"/>
          <w:szCs w:val="20"/>
        </w:rPr>
      </w:pPr>
    </w:p>
    <w:p w14:paraId="222E45C2" w14:textId="77777777" w:rsidR="006C55D2" w:rsidRPr="00DD439E" w:rsidRDefault="006C55D2" w:rsidP="006C55D2">
      <w:pPr>
        <w:tabs>
          <w:tab w:val="left" w:pos="6620"/>
        </w:tabs>
        <w:jc w:val="both"/>
        <w:rPr>
          <w:rFonts w:eastAsia="Calibri"/>
          <w:sz w:val="22"/>
          <w:szCs w:val="20"/>
        </w:rPr>
      </w:pPr>
    </w:p>
    <w:p w14:paraId="6436F0E0" w14:textId="77777777" w:rsidR="006C55D2" w:rsidRPr="00DD439E" w:rsidRDefault="006C55D2" w:rsidP="006C55D2">
      <w:pPr>
        <w:tabs>
          <w:tab w:val="left" w:pos="6620"/>
        </w:tabs>
        <w:jc w:val="both"/>
        <w:rPr>
          <w:rFonts w:eastAsia="Calibri"/>
          <w:sz w:val="22"/>
          <w:szCs w:val="20"/>
        </w:rPr>
      </w:pPr>
    </w:p>
    <w:p w14:paraId="2AC3B391" w14:textId="77777777" w:rsidR="006C55D2" w:rsidRPr="00DD439E" w:rsidRDefault="006C55D2" w:rsidP="006C55D2">
      <w:pPr>
        <w:jc w:val="center"/>
        <w:rPr>
          <w:rFonts w:eastAsia="Calibri"/>
          <w:sz w:val="22"/>
          <w:szCs w:val="20"/>
        </w:rPr>
      </w:pPr>
    </w:p>
    <w:p w14:paraId="30CC949F" w14:textId="72909EF3" w:rsidR="006C55D2" w:rsidRPr="00DD439E" w:rsidRDefault="006C55D2" w:rsidP="006C55D2">
      <w:pPr>
        <w:jc w:val="center"/>
        <w:rPr>
          <w:rFonts w:eastAsia="Calibri"/>
          <w:sz w:val="22"/>
          <w:szCs w:val="20"/>
        </w:rPr>
      </w:pPr>
      <w:r w:rsidRPr="00DD439E">
        <w:rPr>
          <w:rFonts w:eastAsia="Calibri"/>
          <w:sz w:val="22"/>
          <w:szCs w:val="20"/>
        </w:rPr>
        <w:t xml:space="preserve">Pénjamo, Guanajuato                                                        </w:t>
      </w:r>
      <w:r w:rsidR="0006394C">
        <w:rPr>
          <w:rFonts w:eastAsia="Calibri"/>
          <w:sz w:val="22"/>
          <w:szCs w:val="20"/>
        </w:rPr>
        <w:t>08</w:t>
      </w:r>
      <w:r w:rsidRPr="00DD439E">
        <w:rPr>
          <w:rFonts w:eastAsia="Calibri"/>
          <w:sz w:val="22"/>
          <w:szCs w:val="20"/>
        </w:rPr>
        <w:t xml:space="preserve"> de </w:t>
      </w:r>
      <w:r w:rsidR="0006394C">
        <w:rPr>
          <w:rFonts w:eastAsia="Calibri"/>
          <w:sz w:val="22"/>
          <w:szCs w:val="20"/>
        </w:rPr>
        <w:t>julio</w:t>
      </w:r>
      <w:r w:rsidRPr="00DD439E">
        <w:rPr>
          <w:rFonts w:eastAsia="Calibri"/>
          <w:sz w:val="22"/>
          <w:szCs w:val="20"/>
        </w:rPr>
        <w:t xml:space="preserve"> de 2026</w:t>
      </w:r>
    </w:p>
    <w:p w14:paraId="336E7486" w14:textId="77777777" w:rsidR="006C55D2" w:rsidRPr="00DD439E" w:rsidRDefault="006C55D2" w:rsidP="006C55D2"/>
    <w:p w14:paraId="2C6947A7" w14:textId="070DCA1B" w:rsidR="005E2D39" w:rsidRPr="000B6C36" w:rsidRDefault="00000000">
      <w:pPr>
        <w:pStyle w:val="Ttulo1"/>
        <w:rPr>
          <w:color w:val="auto"/>
        </w:rPr>
      </w:pPr>
      <w:r w:rsidRPr="000B6C36">
        <w:rPr>
          <w:color w:val="auto"/>
        </w:rPr>
        <w:lastRenderedPageBreak/>
        <w:t>Justificación</w:t>
      </w:r>
    </w:p>
    <w:p w14:paraId="5DEE8F8F" w14:textId="4F8E3357" w:rsidR="005E2D39" w:rsidRDefault="00000000">
      <w:pPr>
        <w:spacing w:after="160" w:line="276" w:lineRule="auto"/>
        <w:jc w:val="both"/>
      </w:pPr>
      <w:r>
        <w:t>El cine de la Época de Oro mexicana, producido</w:t>
      </w:r>
      <w:r w:rsidR="00B25840">
        <w:t xml:space="preserve"> por estudios de cine de </w:t>
      </w:r>
      <w:r w:rsidR="006C55D2">
        <w:t>Mexico</w:t>
      </w:r>
      <w:r>
        <w:t xml:space="preserve"> aproximadamente entre los años </w:t>
      </w:r>
      <w:r w:rsidR="00B25840">
        <w:t xml:space="preserve">mi novecientos </w:t>
      </w:r>
      <w:r>
        <w:t xml:space="preserve">treinta y los años </w:t>
      </w:r>
      <w:r w:rsidR="00B25840">
        <w:t xml:space="preserve">de mil novecientos </w:t>
      </w:r>
      <w:r>
        <w:t xml:space="preserve">sesenta, constituye uno de los patrimonios culturales más importantes de México y de Latinoamérica. En este periodo </w:t>
      </w:r>
      <w:r w:rsidR="00B25840">
        <w:t>actores</w:t>
      </w:r>
      <w:r>
        <w:t xml:space="preserve"> como Pedro Infante, María Félix, Jorge Negrete, Dolores del Río, Cantinflas y Germán Valdés “Tin Tan” consolidaron una industria que llegó a producir más de cien películas al año y que dio identidad a varias generaciones de </w:t>
      </w:r>
      <w:r w:rsidR="006C55D2">
        <w:t>Hispanoamérica</w:t>
      </w:r>
      <w:r>
        <w:t>.</w:t>
      </w:r>
    </w:p>
    <w:p w14:paraId="24063C24" w14:textId="5552B041" w:rsidR="005E2D39" w:rsidRDefault="00000000">
      <w:pPr>
        <w:spacing w:after="160" w:line="276" w:lineRule="auto"/>
        <w:jc w:val="both"/>
      </w:pPr>
      <w:r>
        <w:t>Sin embargo, buena parte de est</w:t>
      </w:r>
      <w:r w:rsidR="00B25840">
        <w:t>os largometrajes</w:t>
      </w:r>
      <w:r>
        <w:t xml:space="preserve"> se encuentra </w:t>
      </w:r>
      <w:r w:rsidR="00B25840">
        <w:t xml:space="preserve">en </w:t>
      </w:r>
      <w:r w:rsidR="006C55D2">
        <w:t>demasiados</w:t>
      </w:r>
      <w:r w:rsidR="00B25840">
        <w:t xml:space="preserve"> medios</w:t>
      </w:r>
      <w:r>
        <w:t xml:space="preserve">, </w:t>
      </w:r>
      <w:r w:rsidR="00B25840">
        <w:t xml:space="preserve">o que cause que se pongan </w:t>
      </w:r>
      <w:r>
        <w:t xml:space="preserve">en riesgo de perderse. Muchas de las cintas originales no fueron almacenadas ni conservadas de manera adecuada, lo que ha provocado su daño e incluso su destrucción con el paso del tiempo. Además, para el público actual el acceso a estas películas resulta complicado: los títulos están repartidos entre distintos servicios, canales de televisión y sitios de dudosa legalidad, sin un punto de consulta </w:t>
      </w:r>
      <w:r w:rsidR="00B25840">
        <w:t>centr</w:t>
      </w:r>
      <w:r w:rsidR="006C55D2">
        <w:t xml:space="preserve">alizada </w:t>
      </w:r>
      <w:r>
        <w:t>y confiable.</w:t>
      </w:r>
    </w:p>
    <w:p w14:paraId="1E3DE6BB" w14:textId="7C7A0CEF" w:rsidR="005E2D39" w:rsidRDefault="00000000">
      <w:pPr>
        <w:spacing w:after="160" w:line="276" w:lineRule="auto"/>
        <w:jc w:val="both"/>
      </w:pPr>
      <w:r>
        <w:t xml:space="preserve">Por ello </w:t>
      </w:r>
      <w:r w:rsidR="00B25840">
        <w:t xml:space="preserve">nuestra </w:t>
      </w:r>
      <w:r>
        <w:t>prop</w:t>
      </w:r>
      <w:r w:rsidR="00B25840">
        <w:t>uesta es</w:t>
      </w:r>
      <w:r>
        <w:t xml:space="preserve"> desarrollar una plataforma de </w:t>
      </w:r>
      <w:proofErr w:type="spellStart"/>
      <w:r>
        <w:t>streaming</w:t>
      </w:r>
      <w:proofErr w:type="spellEnd"/>
      <w:r>
        <w:t xml:space="preserve"> que reúna y organice este contenido en un solo lugar, facilitando su consulta y contribuyendo simbólicamente a su resguardo digital. Desde el punto de vista académico, el proyecto se justifica porque </w:t>
      </w:r>
      <w:r w:rsidR="0006394C">
        <w:t>permitirá</w:t>
      </w:r>
      <w:r>
        <w:t xml:space="preserve"> aplicar de forma práctica una arquitectura de microservicios a un caso de uso realista </w:t>
      </w:r>
      <w:r w:rsidR="00B25840">
        <w:t xml:space="preserve">además de </w:t>
      </w:r>
      <w:r>
        <w:t xml:space="preserve">culturalmente significativo. La separación del sistema en servicios independientes </w:t>
      </w:r>
      <w:r w:rsidR="00B25840">
        <w:t xml:space="preserve">como </w:t>
      </w:r>
      <w:r>
        <w:t xml:space="preserve">usuarios, catálogo, reproducción y recomendaciones </w:t>
      </w:r>
      <w:r w:rsidR="006C55D2">
        <w:t>ofrecerá</w:t>
      </w:r>
      <w:r>
        <w:t xml:space="preserve"> un escenario idóneo para demostrar los principios de desacoplamiento, escalabilidad y comunicación entre servicios, al tiempo que se aborda una problemática con valor social y cultural.</w:t>
      </w:r>
    </w:p>
    <w:p w14:paraId="11CB6F16" w14:textId="77777777" w:rsidR="000B6C36" w:rsidRDefault="000B6C36">
      <w:pPr>
        <w:spacing w:after="160" w:line="276" w:lineRule="auto"/>
        <w:jc w:val="both"/>
      </w:pPr>
    </w:p>
    <w:p w14:paraId="571A539C" w14:textId="1BFF406A" w:rsidR="000B6C36" w:rsidRDefault="000B6C36">
      <w:pPr>
        <w:spacing w:after="160" w:line="276" w:lineRule="auto"/>
        <w:jc w:val="both"/>
      </w:pPr>
      <w:r>
        <w:br w:type="page"/>
      </w:r>
    </w:p>
    <w:p w14:paraId="47C94982" w14:textId="44715A56" w:rsidR="005E2D39" w:rsidRPr="000B6C36" w:rsidRDefault="00000000">
      <w:pPr>
        <w:pStyle w:val="Ttulo1"/>
        <w:rPr>
          <w:color w:val="auto"/>
        </w:rPr>
      </w:pPr>
      <w:r w:rsidRPr="000B6C36">
        <w:rPr>
          <w:color w:val="auto"/>
        </w:rPr>
        <w:lastRenderedPageBreak/>
        <w:t>Problema a resolver</w:t>
      </w:r>
    </w:p>
    <w:p w14:paraId="1015D533" w14:textId="596239DB" w:rsidR="005E2D39" w:rsidRDefault="00000000">
      <w:pPr>
        <w:spacing w:after="160" w:line="276" w:lineRule="auto"/>
        <w:jc w:val="both"/>
      </w:pPr>
      <w:r>
        <w:t xml:space="preserve">El problema central que </w:t>
      </w:r>
      <w:r w:rsidR="006C55D2">
        <w:t>nuestro</w:t>
      </w:r>
      <w:r>
        <w:t xml:space="preserve"> proyecto busca </w:t>
      </w:r>
      <w:r w:rsidR="006C55D2">
        <w:t>resolve</w:t>
      </w:r>
      <w:r>
        <w:t xml:space="preserve">r es la dispersión y la falta de un espacio unificado para </w:t>
      </w:r>
      <w:r w:rsidR="006C55D2">
        <w:t xml:space="preserve">poder </w:t>
      </w:r>
      <w:r>
        <w:t>acceder a</w:t>
      </w:r>
      <w:r w:rsidR="006C55D2">
        <w:t xml:space="preserve"> </w:t>
      </w:r>
      <w:r>
        <w:t>l</w:t>
      </w:r>
      <w:r w:rsidR="006C55D2">
        <w:t xml:space="preserve">as películas de </w:t>
      </w:r>
      <w:r>
        <w:t xml:space="preserve">la Época de Oro mexicana. Actualmente, una persona interesada en ver estas películas debe buscarlas en múltiples fuentes distintas, muchas de ellas incompletas, de baja calidad o sin garantías sobre la legitimidad del contenido. </w:t>
      </w:r>
      <w:r w:rsidR="006C55D2">
        <w:t>P</w:t>
      </w:r>
      <w:r>
        <w:t xml:space="preserve">ara el alcance de este proyecto, </w:t>
      </w:r>
      <w:r w:rsidR="006C55D2">
        <w:t xml:space="preserve">tendremos que crear una base de datos con las películas </w:t>
      </w:r>
      <w:r>
        <w:t>que centralice estos títulos junto con su información (sinopsis, año, reparto, género) de manera ordenada.</w:t>
      </w:r>
    </w:p>
    <w:p w14:paraId="30A0B841" w14:textId="6D206817" w:rsidR="005E2D39" w:rsidRDefault="00000000">
      <w:pPr>
        <w:spacing w:after="160" w:line="276" w:lineRule="auto"/>
        <w:jc w:val="both"/>
      </w:pPr>
      <w:r>
        <w:t>En consecuencia,</w:t>
      </w:r>
      <w:r w:rsidR="006C55D2">
        <w:t xml:space="preserve"> </w:t>
      </w:r>
      <w:r>
        <w:t>plante</w:t>
      </w:r>
      <w:r w:rsidR="006C55D2">
        <w:t>amos</w:t>
      </w:r>
      <w:r>
        <w:t xml:space="preserve"> desarrollar una plataforma que funcione como un único punto de acceso donde el contenido del cine de oro mexicano quede “resguardado” y organizado. La idea de resguardo </w:t>
      </w:r>
      <w:r w:rsidR="006C55D2">
        <w:t xml:space="preserve">es para la </w:t>
      </w:r>
      <w:r>
        <w:t>preservación y centralización digital</w:t>
      </w:r>
      <w:r w:rsidR="006C55D2">
        <w:t xml:space="preserve"> de estos medios</w:t>
      </w:r>
      <w:r>
        <w:t>: reunir las películas y sus datos asociados en un mismo sistema, catalogarlas correctamente y ofrecer una experiencia de consulta y reproducción sencilla para el usuario final.</w:t>
      </w:r>
    </w:p>
    <w:p w14:paraId="20C96E55" w14:textId="1F9C499C" w:rsidR="005E2D39" w:rsidRDefault="00000000">
      <w:pPr>
        <w:spacing w:after="160" w:line="276" w:lineRule="auto"/>
        <w:jc w:val="both"/>
      </w:pPr>
      <w:r>
        <w:t xml:space="preserve">De manera </w:t>
      </w:r>
      <w:r w:rsidR="006C55D2">
        <w:t>puntual</w:t>
      </w:r>
      <w:r>
        <w:t xml:space="preserve">, el sistema deberá </w:t>
      </w:r>
      <w:r w:rsidR="006C55D2">
        <w:t>cumplir con</w:t>
      </w:r>
      <w:r>
        <w:t>:</w:t>
      </w:r>
    </w:p>
    <w:p w14:paraId="6A9A68C0" w14:textId="63D75E41" w:rsidR="005E2D39" w:rsidRDefault="00000000" w:rsidP="0006394C">
      <w:pPr>
        <w:pStyle w:val="Prrafodelista"/>
        <w:numPr>
          <w:ilvl w:val="0"/>
          <w:numId w:val="3"/>
        </w:numPr>
        <w:spacing w:after="100" w:line="276" w:lineRule="auto"/>
        <w:jc w:val="both"/>
      </w:pPr>
      <w:r>
        <w:t>Centraliza</w:t>
      </w:r>
      <w:r w:rsidR="006C55D2">
        <w:t>do</w:t>
      </w:r>
      <w:r>
        <w:t xml:space="preserve"> en un solo lugar un catálogo de películas del cine de oro mexicano con su información descriptiva.</w:t>
      </w:r>
    </w:p>
    <w:p w14:paraId="40B17E98" w14:textId="77777777" w:rsidR="005E2D39" w:rsidRDefault="00000000" w:rsidP="0006394C">
      <w:pPr>
        <w:pStyle w:val="Prrafodelista"/>
        <w:numPr>
          <w:ilvl w:val="0"/>
          <w:numId w:val="3"/>
        </w:numPr>
        <w:spacing w:after="100" w:line="276" w:lineRule="auto"/>
        <w:jc w:val="both"/>
      </w:pPr>
      <w:r>
        <w:t>Permitir que los usuarios se registren, inicien sesión y consulten el catálogo de forma ordenada.</w:t>
      </w:r>
    </w:p>
    <w:p w14:paraId="745255D2" w14:textId="77777777" w:rsidR="005E2D39" w:rsidRDefault="00000000" w:rsidP="0006394C">
      <w:pPr>
        <w:pStyle w:val="Prrafodelista"/>
        <w:numPr>
          <w:ilvl w:val="0"/>
          <w:numId w:val="3"/>
        </w:numPr>
        <w:spacing w:after="100" w:line="276" w:lineRule="auto"/>
        <w:jc w:val="both"/>
      </w:pPr>
      <w:r>
        <w:t>Reproducir el contenido y registrar el historial de lo que cada usuario ha visto.</w:t>
      </w:r>
    </w:p>
    <w:p w14:paraId="15B359DE" w14:textId="77777777" w:rsidR="005E2D39" w:rsidRDefault="00000000" w:rsidP="0006394C">
      <w:pPr>
        <w:pStyle w:val="Prrafodelista"/>
        <w:numPr>
          <w:ilvl w:val="0"/>
          <w:numId w:val="3"/>
        </w:numPr>
        <w:spacing w:after="100" w:line="276" w:lineRule="auto"/>
        <w:jc w:val="both"/>
      </w:pPr>
      <w:r>
        <w:t>Sugerir títulos relacionados a partir del historial de reproducción del usuario.</w:t>
      </w:r>
    </w:p>
    <w:p w14:paraId="1C8B67CD" w14:textId="6568688B" w:rsidR="005E2D39" w:rsidRDefault="006C55D2">
      <w:pPr>
        <w:spacing w:after="160" w:line="276" w:lineRule="auto"/>
        <w:jc w:val="both"/>
      </w:pPr>
      <w:r>
        <w:t>E</w:t>
      </w:r>
      <w:r w:rsidRPr="006C55D2">
        <w:t>l alcance</w:t>
      </w:r>
      <w:r>
        <w:t xml:space="preserve"> y</w:t>
      </w:r>
      <w:r w:rsidRPr="006C55D2">
        <w:t xml:space="preserve"> el objetivo del proyecto no es resolver los aspectos legales de los derechos de autor ni implementar los procesos técnicos de alta complejidad propios de una plataforma comercial </w:t>
      </w:r>
      <w:r>
        <w:t xml:space="preserve">como la </w:t>
      </w:r>
      <w:r w:rsidRPr="006C55D2">
        <w:t>transcodificación de video, protocolo HLS o redes de distribución de contenido</w:t>
      </w:r>
      <w:r>
        <w:t xml:space="preserve"> si no aplicar </w:t>
      </w:r>
      <w:r w:rsidRPr="006C55D2">
        <w:t>la arquitectura de microservicios y la organización y centralización del contenido, que es lo que la asignatura evalúa.</w:t>
      </w:r>
    </w:p>
    <w:p w14:paraId="2D1CE62D" w14:textId="77777777" w:rsidR="000B6C36" w:rsidRDefault="000B6C36">
      <w:pPr>
        <w:spacing w:after="160" w:line="276" w:lineRule="auto"/>
        <w:jc w:val="both"/>
      </w:pPr>
    </w:p>
    <w:p w14:paraId="34B9B730" w14:textId="541D55C3" w:rsidR="000B6C36" w:rsidRDefault="000B6C36">
      <w:pPr>
        <w:spacing w:after="160" w:line="276" w:lineRule="auto"/>
        <w:jc w:val="both"/>
      </w:pPr>
      <w:r>
        <w:br w:type="page"/>
      </w:r>
    </w:p>
    <w:p w14:paraId="56DA691D" w14:textId="77777777" w:rsidR="007924CC" w:rsidRDefault="007924CC" w:rsidP="007924CC">
      <w:pPr>
        <w:rPr>
          <w:b/>
          <w:bCs/>
          <w:sz w:val="28"/>
          <w:szCs w:val="28"/>
        </w:rPr>
      </w:pPr>
      <w:r w:rsidRPr="00DD439E">
        <w:rPr>
          <w:b/>
          <w:bCs/>
          <w:sz w:val="28"/>
          <w:szCs w:val="28"/>
        </w:rPr>
        <w:lastRenderedPageBreak/>
        <w:t>Microservicios para desarrollar</w:t>
      </w:r>
      <w:r>
        <w:rPr>
          <w:b/>
          <w:bCs/>
          <w:sz w:val="28"/>
          <w:szCs w:val="28"/>
        </w:rPr>
        <w:t>:</w:t>
      </w:r>
    </w:p>
    <w:p w14:paraId="13FF6923" w14:textId="77777777" w:rsidR="007924CC" w:rsidRPr="00DD439E" w:rsidRDefault="007924CC" w:rsidP="007924CC">
      <w:pPr>
        <w:rPr>
          <w:b/>
          <w:bCs/>
          <w:sz w:val="28"/>
          <w:szCs w:val="28"/>
        </w:rPr>
      </w:pPr>
      <w:r w:rsidRPr="00DD439E">
        <w:rPr>
          <w:b/>
          <w:bCs/>
        </w:rPr>
        <w:t>Microservicio de Usuarios</w:t>
      </w:r>
    </w:p>
    <w:p w14:paraId="487110E5" w14:textId="77777777" w:rsidR="007924CC" w:rsidRDefault="007924CC" w:rsidP="007924CC">
      <w:pPr>
        <w:spacing w:after="160" w:line="276" w:lineRule="auto"/>
        <w:jc w:val="both"/>
        <w:rPr>
          <w:b/>
          <w:bCs/>
          <w:sz w:val="26"/>
          <w:szCs w:val="26"/>
        </w:rPr>
      </w:pPr>
      <w:r w:rsidRPr="00DD439E">
        <w:t>Este microservicio gestionara el registro y la autenticación de los usuarios, así como la consulta de sus perfiles. Expondrá operaciones para crear un usuario, obtener un usuario por su identificador y listar todos los usuarios.</w:t>
      </w:r>
      <w:r w:rsidRPr="00DD439E">
        <w:rPr>
          <w:b/>
          <w:bCs/>
          <w:sz w:val="26"/>
          <w:szCs w:val="26"/>
        </w:rPr>
        <w:t xml:space="preserve"> </w:t>
      </w:r>
    </w:p>
    <w:p w14:paraId="34A20F56" w14:textId="77777777" w:rsidR="007924CC" w:rsidRPr="00DD439E" w:rsidRDefault="007924CC" w:rsidP="007924CC">
      <w:pPr>
        <w:spacing w:after="160" w:line="276" w:lineRule="auto"/>
        <w:jc w:val="both"/>
      </w:pPr>
      <w:r w:rsidRPr="00DD439E">
        <w:rPr>
          <w:b/>
          <w:bCs/>
          <w:sz w:val="26"/>
          <w:szCs w:val="26"/>
        </w:rPr>
        <w:t>Microservicio de Catálogo</w:t>
      </w:r>
    </w:p>
    <w:p w14:paraId="48333088" w14:textId="25AADD59" w:rsidR="007924CC" w:rsidRPr="00DD439E" w:rsidRDefault="007924CC" w:rsidP="007924CC">
      <w:pPr>
        <w:spacing w:after="160" w:line="276" w:lineRule="auto"/>
        <w:jc w:val="both"/>
      </w:pPr>
      <w:r w:rsidRPr="00DD439E">
        <w:t>Este microservicio administrara los contenidos disponibles en la plataforma (películas y cortos). Cada contenido contendrá como mínimo: un identificador, su título, sus géneros, la duración, su sinopsis, su imagen de portada y la URL del video asociado. Expondrá operaciones para listar el catálogo completo, consultar un contenido específico y filtrar por género desempeñándose como el microservicio de productos del catálogo.</w:t>
      </w:r>
    </w:p>
    <w:p w14:paraId="6ED9A686" w14:textId="77777777" w:rsidR="007924CC" w:rsidRPr="00DD439E" w:rsidRDefault="007924CC" w:rsidP="007924CC">
      <w:pPr>
        <w:rPr>
          <w:b/>
          <w:bCs/>
        </w:rPr>
      </w:pPr>
      <w:r w:rsidRPr="00DD439E">
        <w:rPr>
          <w:b/>
          <w:bCs/>
        </w:rPr>
        <w:t>Microservicio de Reproducción</w:t>
      </w:r>
    </w:p>
    <w:p w14:paraId="2ED649B5" w14:textId="77777777" w:rsidR="007924CC" w:rsidRPr="00DD439E" w:rsidRDefault="007924CC" w:rsidP="007924CC">
      <w:pPr>
        <w:spacing w:after="160" w:line="276" w:lineRule="auto"/>
        <w:jc w:val="both"/>
      </w:pPr>
      <w:r w:rsidRPr="00DD439E">
        <w:t xml:space="preserve">Este microservicio registrara las reproducciones realizadas por cada usuario y el progreso de visualización. Para crear un registro de reproducción,  este microservicio solicitara al </w:t>
      </w:r>
      <w:proofErr w:type="spellStart"/>
      <w:r w:rsidRPr="00DD439E">
        <w:t>Event</w:t>
      </w:r>
      <w:proofErr w:type="spellEnd"/>
      <w:r w:rsidRPr="00DD439E">
        <w:t xml:space="preserve"> Broker los datos del usuario (evento GET_USUARIOS) y del contenido (evento GET_CATALOGO), combinándolos en un único registro siendo este microservicio el más relevante de nuestra propuesta ya que es el que mostrara más claramente la comunicación entre los microservicios a través del </w:t>
      </w:r>
      <w:proofErr w:type="spellStart"/>
      <w:r w:rsidRPr="00DD439E">
        <w:t>Eventbroker</w:t>
      </w:r>
      <w:proofErr w:type="spellEnd"/>
      <w:r w:rsidRPr="00DD439E">
        <w:t>.</w:t>
      </w:r>
    </w:p>
    <w:p w14:paraId="6DD6754D" w14:textId="77777777" w:rsidR="007924CC" w:rsidRPr="00DD439E" w:rsidRDefault="007924CC" w:rsidP="007924CC">
      <w:pPr>
        <w:rPr>
          <w:b/>
          <w:bCs/>
        </w:rPr>
      </w:pPr>
      <w:r w:rsidRPr="00DD439E">
        <w:rPr>
          <w:b/>
          <w:bCs/>
        </w:rPr>
        <w:t>Microservicio de Recomendaciones</w:t>
      </w:r>
    </w:p>
    <w:p w14:paraId="575EEEED" w14:textId="77777777" w:rsidR="007924CC" w:rsidRDefault="007924CC" w:rsidP="007924CC">
      <w:pPr>
        <w:spacing w:after="160" w:line="276" w:lineRule="auto"/>
        <w:jc w:val="both"/>
      </w:pPr>
      <w:r w:rsidRPr="00DD439E">
        <w:t xml:space="preserve">Este microservicio analizara el historial de reproducción de un usuario y le generara una lista de contenidos sugeridos en base a ese historial. La lógica de recomendación se basará en criterios sencillos, como el género más visto por el usuario o los títulos más populares del catálogo. Solicitará la información necesaria a los servicios de Reproducción y Catálogo a través del </w:t>
      </w:r>
      <w:proofErr w:type="spellStart"/>
      <w:r w:rsidRPr="00DD439E">
        <w:t>Event</w:t>
      </w:r>
      <w:proofErr w:type="spellEnd"/>
      <w:r w:rsidRPr="00DD439E">
        <w:t xml:space="preserve"> Broker.</w:t>
      </w:r>
    </w:p>
    <w:p w14:paraId="7000DFEC" w14:textId="77777777" w:rsidR="007924CC" w:rsidRPr="00DD439E" w:rsidRDefault="007924CC" w:rsidP="007924CC">
      <w:pPr>
        <w:rPr>
          <w:b/>
          <w:bCs/>
        </w:rPr>
      </w:pPr>
      <w:r w:rsidRPr="00DD439E">
        <w:rPr>
          <w:b/>
          <w:bCs/>
        </w:rPr>
        <w:t xml:space="preserve">Microservicio de </w:t>
      </w:r>
      <w:r>
        <w:rPr>
          <w:b/>
          <w:bCs/>
        </w:rPr>
        <w:t>Metadatos</w:t>
      </w:r>
    </w:p>
    <w:p w14:paraId="6C9B5B2A" w14:textId="3FE32822" w:rsidR="007924CC" w:rsidRPr="00DD439E" w:rsidRDefault="007924CC" w:rsidP="007924CC">
      <w:pPr>
        <w:spacing w:after="160" w:line="276" w:lineRule="auto"/>
        <w:jc w:val="both"/>
      </w:pPr>
      <w:r>
        <w:t>Este microservicio</w:t>
      </w:r>
      <w:r w:rsidR="00C10AE2">
        <w:t xml:space="preserve"> es el encargado</w:t>
      </w:r>
      <w:r>
        <w:t xml:space="preserve"> de obtener y completar la información descriptiva de cada película antes de que se registre en el Catálogo. Su función combina dos fuentes de datos complementarias: los metadatos técnicos que se extraen directamente del archivo de video, y los metadatos editoriales que se obtienen de una fuente externa especializada. De esta forma, gran parte del catálogo puede completarse de manera automática, reduciendo la captura manual de información.</w:t>
      </w:r>
    </w:p>
    <w:p w14:paraId="559F2EFC" w14:textId="77777777" w:rsidR="007924CC" w:rsidRDefault="007924CC">
      <w:pPr>
        <w:spacing w:after="160" w:line="276" w:lineRule="auto"/>
        <w:jc w:val="both"/>
      </w:pPr>
    </w:p>
    <w:p w14:paraId="6801BA64" w14:textId="501BF7B1" w:rsidR="007924CC" w:rsidRDefault="007924CC">
      <w:pPr>
        <w:spacing w:after="160" w:line="276" w:lineRule="auto"/>
        <w:jc w:val="both"/>
      </w:pPr>
      <w:r>
        <w:br w:type="page"/>
      </w:r>
    </w:p>
    <w:p w14:paraId="2B19E842" w14:textId="55DE5FF5" w:rsidR="005E2D39" w:rsidRPr="000B6C36" w:rsidRDefault="00000000">
      <w:pPr>
        <w:pStyle w:val="Ttulo1"/>
        <w:rPr>
          <w:color w:val="auto"/>
        </w:rPr>
      </w:pPr>
      <w:r w:rsidRPr="000B6C36">
        <w:rPr>
          <w:color w:val="auto"/>
        </w:rPr>
        <w:lastRenderedPageBreak/>
        <w:t>Soluciones similares existentes</w:t>
      </w:r>
    </w:p>
    <w:p w14:paraId="1BEFFC14" w14:textId="0BBF4126" w:rsidR="005E2D39" w:rsidRDefault="00000000">
      <w:pPr>
        <w:spacing w:after="160" w:line="276" w:lineRule="auto"/>
        <w:jc w:val="both"/>
      </w:pPr>
      <w:r>
        <w:t xml:space="preserve">Existen actualmente </w:t>
      </w:r>
      <w:r w:rsidR="006C55D2">
        <w:t>algunas</w:t>
      </w:r>
      <w:r>
        <w:t xml:space="preserve"> plataformas que abordan</w:t>
      </w:r>
      <w:r w:rsidR="006C55D2">
        <w:t xml:space="preserve"> de manera</w:t>
      </w:r>
      <w:r>
        <w:t xml:space="preserve"> total o parcial, la difusión del cine de la Época de Oro mexicana. Su existencia confirma que la necesidad es real y vigente, y a la vez sirve como referencia para el diseño del proyecto. A </w:t>
      </w:r>
      <w:r w:rsidR="000B6C36">
        <w:t>continuación,</w:t>
      </w:r>
      <w:r>
        <w:t xml:space="preserve"> se </w:t>
      </w:r>
      <w:r w:rsidR="006C55D2">
        <w:t xml:space="preserve">hablaremos de </w:t>
      </w:r>
      <w:r>
        <w:t>tres ejemplo</w:t>
      </w:r>
      <w:r w:rsidR="006C55D2">
        <w:t>s:</w:t>
      </w:r>
    </w:p>
    <w:p w14:paraId="50EDEFC5" w14:textId="77777777" w:rsidR="000B6C36" w:rsidRDefault="000B6C36">
      <w:pPr>
        <w:spacing w:after="160" w:line="276" w:lineRule="auto"/>
        <w:jc w:val="both"/>
      </w:pPr>
    </w:p>
    <w:p w14:paraId="60A64569" w14:textId="54449FB4" w:rsidR="005E2D39" w:rsidRPr="000B6C36" w:rsidRDefault="00000000">
      <w:pPr>
        <w:pStyle w:val="Ttulo2"/>
      </w:pPr>
      <w:r w:rsidRPr="000B6C36">
        <w:t xml:space="preserve">Canela TV </w:t>
      </w:r>
      <w:r w:rsidR="0006394C">
        <w:t>-</w:t>
      </w:r>
      <w:r w:rsidRPr="000B6C36">
        <w:t xml:space="preserve"> colección “Cine de Oro”</w:t>
      </w:r>
    </w:p>
    <w:p w14:paraId="65C1A52F" w14:textId="77777777" w:rsidR="005E2D39" w:rsidRDefault="00000000">
      <w:pPr>
        <w:spacing w:after="160" w:line="276" w:lineRule="auto"/>
        <w:jc w:val="both"/>
      </w:pPr>
      <w:r>
        <w:t xml:space="preserve">Canela TV es una plataforma de </w:t>
      </w:r>
      <w:proofErr w:type="spellStart"/>
      <w:r>
        <w:t>streaming</w:t>
      </w:r>
      <w:proofErr w:type="spellEnd"/>
      <w:r>
        <w:t xml:space="preserve"> gratuita que en 2024 lanzó la colección “Cine de Oro”, con el objetivo de poner a disposición del público más de cien películas de la Época de Oro del cine mexicano de forma gratuita. </w:t>
      </w:r>
    </w:p>
    <w:p w14:paraId="50EAE652" w14:textId="7CFB0732" w:rsidR="005E2D39" w:rsidRDefault="00000000">
      <w:pPr>
        <w:spacing w:after="160" w:line="276" w:lineRule="auto"/>
        <w:jc w:val="both"/>
      </w:pPr>
      <w:r>
        <w:t xml:space="preserve">Esta iniciativa se realizó en alianza con la distribuidora Diana International Films, integrando títulos </w:t>
      </w:r>
      <w:r w:rsidR="006C55D2">
        <w:t>rescaldados</w:t>
      </w:r>
      <w:r>
        <w:t xml:space="preserve"> en alta definición, y declarando explícitamente un compromiso con la preservación de estos materiales para las futuras generaciones. El acceso únicamente requiere registrarse con un correo electrónico. Entre los títulos incluidos figuran clásicos protagonizados por Jorge Negrete, María Félix, Pedro Infante y Tin Tan. Es el referente más cercano al proyecto, pues comparte el enfoque de centralización y preservación del mismo tipo de contenido.</w:t>
      </w:r>
    </w:p>
    <w:p w14:paraId="48183A60" w14:textId="77777777" w:rsidR="000B6C36" w:rsidRDefault="000B6C36">
      <w:pPr>
        <w:spacing w:after="160" w:line="276" w:lineRule="auto"/>
        <w:jc w:val="both"/>
      </w:pPr>
    </w:p>
    <w:p w14:paraId="5E92C75B" w14:textId="1F658F28" w:rsidR="005E2D39" w:rsidRPr="000B6C36" w:rsidRDefault="00000000">
      <w:pPr>
        <w:pStyle w:val="Ttulo2"/>
      </w:pPr>
      <w:r w:rsidRPr="000B6C36">
        <w:t>Cine Clásico (Olympusat)</w:t>
      </w:r>
    </w:p>
    <w:p w14:paraId="3FF6D9A8" w14:textId="77777777" w:rsidR="005E2D39" w:rsidRDefault="00000000">
      <w:pPr>
        <w:spacing w:after="160" w:line="276" w:lineRule="auto"/>
        <w:jc w:val="both"/>
      </w:pPr>
      <w:r>
        <w:t xml:space="preserve">Cine Clásico es un canal de Olympusat, una de las compañías de medios en español más grandes de Estados Unidos, dedicado a mostrar las cintas más emblemáticas de la Época de Oro del cine mexicano completamente restauradas en alta definición. </w:t>
      </w:r>
    </w:p>
    <w:p w14:paraId="7C08D593" w14:textId="77777777" w:rsidR="005E2D39" w:rsidRDefault="00000000">
      <w:pPr>
        <w:spacing w:after="160" w:line="276" w:lineRule="auto"/>
        <w:jc w:val="both"/>
      </w:pPr>
      <w:r>
        <w:t>La empresa ha remasterizado cientos de películas cuadro por cuadro como parte de un esfuerzo explícito de restauración y preservación, e incluye títulos de directores como Luis Buñuel y Roberto Gavaldón. El canal se distribuye en distintos servicios, entre ellos plataformas de televisión conectada como Samsung TV Plus. A diferencia del proyecto propuesto, su modelo se apoya en la distribución a través de terceros más que en una aplicación propia única, pero comparte el objetivo de rescatar y centralizar este patrimonio.</w:t>
      </w:r>
    </w:p>
    <w:p w14:paraId="56ED6397" w14:textId="77777777" w:rsidR="000B6C36" w:rsidRDefault="000B6C36">
      <w:pPr>
        <w:spacing w:after="160" w:line="276" w:lineRule="auto"/>
        <w:jc w:val="both"/>
      </w:pPr>
    </w:p>
    <w:p w14:paraId="2D906C8E" w14:textId="02366884" w:rsidR="000B6C36" w:rsidRDefault="000B6C36">
      <w:pPr>
        <w:spacing w:after="160" w:line="276" w:lineRule="auto"/>
        <w:jc w:val="both"/>
      </w:pPr>
      <w:r>
        <w:br w:type="page"/>
      </w:r>
    </w:p>
    <w:p w14:paraId="79F6568B" w14:textId="37A794E6" w:rsidR="005E2D39" w:rsidRPr="000B6C36" w:rsidRDefault="00000000">
      <w:pPr>
        <w:pStyle w:val="Ttulo2"/>
      </w:pPr>
      <w:r w:rsidRPr="000B6C36">
        <w:lastRenderedPageBreak/>
        <w:t>Claro Video</w:t>
      </w:r>
    </w:p>
    <w:p w14:paraId="7A63134B" w14:textId="77777777" w:rsidR="005E2D39" w:rsidRDefault="00000000">
      <w:pPr>
        <w:spacing w:after="160" w:line="276" w:lineRule="auto"/>
        <w:jc w:val="both"/>
      </w:pPr>
      <w:r>
        <w:t xml:space="preserve">Claro Video es un servicio de </w:t>
      </w:r>
      <w:proofErr w:type="spellStart"/>
      <w:r>
        <w:t>streaming</w:t>
      </w:r>
      <w:proofErr w:type="spellEnd"/>
      <w:r>
        <w:t xml:space="preserve"> de suscripción de amplia presencia en América Latina que, dentro de su catálogo general, incluye una sección dedicada a películas de la Época de Oro del cine mexicano, con títulos protagonizados por figuras como Pedro Infante. </w:t>
      </w:r>
    </w:p>
    <w:p w14:paraId="45E82DBD" w14:textId="77777777" w:rsidR="005E2D39" w:rsidRDefault="00000000">
      <w:pPr>
        <w:spacing w:after="160" w:line="276" w:lineRule="auto"/>
        <w:jc w:val="both"/>
      </w:pPr>
      <w:r>
        <w:t>A diferencia de los dos casos anteriores, Claro Video no se especializa exclusivamente en cine clásico, sino que lo ofrece como parte de una oferta más amplia de contenidos. Esto lo convierte en un ejemplo de cómo el cine de oro convive con catálogos comerciales generales, y resalta por contraste el valor de una plataforma especializada y centrada únicamente en este acervo, como la que se propone.</w:t>
      </w:r>
    </w:p>
    <w:p w14:paraId="772F917C" w14:textId="77777777" w:rsidR="005E2D39" w:rsidRDefault="00000000">
      <w:pPr>
        <w:spacing w:after="160" w:line="276" w:lineRule="auto"/>
        <w:jc w:val="both"/>
      </w:pPr>
      <w:r>
        <w:t>En conjunto, estos ejemplos demuestran que el rescate y la difusión del cine de oro mexicano es una necesidad reconocida y atendida por actores reales de la industria. El proyecto propuesto se distingue por su carácter académico y por centrarse en la implementación de una arquitectura de microservicios, tomando estas plataformas como inspiración funcional más que como competencia comercial directa.</w:t>
      </w:r>
    </w:p>
    <w:p w14:paraId="19811845" w14:textId="77777777" w:rsidR="000B6C36" w:rsidRDefault="000B6C36">
      <w:pPr>
        <w:spacing w:after="160" w:line="276" w:lineRule="auto"/>
        <w:jc w:val="both"/>
      </w:pPr>
    </w:p>
    <w:p w14:paraId="1F48EF8B" w14:textId="77777777" w:rsidR="000B6C36" w:rsidRDefault="000B6C36">
      <w:pPr>
        <w:spacing w:after="160" w:line="276" w:lineRule="auto"/>
        <w:jc w:val="both"/>
      </w:pPr>
    </w:p>
    <w:p w14:paraId="527B00E7" w14:textId="1AB3277C" w:rsidR="000B6C36" w:rsidRDefault="000B6C36">
      <w:pPr>
        <w:spacing w:after="160" w:line="276" w:lineRule="auto"/>
        <w:jc w:val="both"/>
      </w:pPr>
      <w:r>
        <w:br w:type="page"/>
      </w:r>
    </w:p>
    <w:p w14:paraId="76ED3C7A" w14:textId="77777777" w:rsidR="005E2D39" w:rsidRPr="000B6C36" w:rsidRDefault="00000000">
      <w:pPr>
        <w:pStyle w:val="Ttulo1"/>
        <w:rPr>
          <w:color w:val="auto"/>
        </w:rPr>
      </w:pPr>
      <w:r w:rsidRPr="000B6C36">
        <w:rPr>
          <w:color w:val="auto"/>
        </w:rPr>
        <w:lastRenderedPageBreak/>
        <w:t>Referencias</w:t>
      </w:r>
    </w:p>
    <w:p w14:paraId="06360D09" w14:textId="77777777" w:rsidR="005E2D39" w:rsidRDefault="00000000">
      <w:pPr>
        <w:spacing w:after="120" w:line="276" w:lineRule="auto"/>
        <w:ind w:left="720" w:hanging="720"/>
        <w:jc w:val="both"/>
      </w:pPr>
      <w:proofErr w:type="spellStart"/>
      <w:r>
        <w:t>ProCine</w:t>
      </w:r>
      <w:proofErr w:type="spellEnd"/>
      <w:r>
        <w:t xml:space="preserve"> CDMX. (2024). ¿Fan del cine mexicano? La plataforma Canela TV estrenará más de 100 películas de la Época de Oro de forma gratuita. Recuperado de https://www.procine.cdmx.gob.mx</w:t>
      </w:r>
    </w:p>
    <w:p w14:paraId="629EB75B" w14:textId="77777777" w:rsidR="005E2D39" w:rsidRDefault="00000000">
      <w:pPr>
        <w:spacing w:after="120" w:line="276" w:lineRule="auto"/>
        <w:ind w:left="720" w:hanging="720"/>
        <w:jc w:val="both"/>
      </w:pPr>
      <w:r>
        <w:t>Olympusat. (s. f.). Cine Clásico. Recuperado de https://www.olympusat.com/es/canales/cine-clasico-2/</w:t>
      </w:r>
    </w:p>
    <w:p w14:paraId="7DED1AE3" w14:textId="77777777" w:rsidR="005E2D39" w:rsidRDefault="00000000">
      <w:pPr>
        <w:spacing w:after="120" w:line="276" w:lineRule="auto"/>
        <w:ind w:left="720" w:hanging="720"/>
        <w:jc w:val="both"/>
      </w:pPr>
      <w:r>
        <w:t xml:space="preserve">Milenio. (2020). </w:t>
      </w:r>
      <w:proofErr w:type="spellStart"/>
      <w:r>
        <w:t>Streaming</w:t>
      </w:r>
      <w:proofErr w:type="spellEnd"/>
      <w:r>
        <w:t>: época de oro de cine mexicano en línea. Recuperado de https://www.milenio.com/ocio/streaming-epoca-oro-cine-mexicano-linea</w:t>
      </w:r>
    </w:p>
    <w:p w14:paraId="095310A5" w14:textId="77777777" w:rsidR="005E2D39" w:rsidRPr="0006394C" w:rsidRDefault="00000000">
      <w:pPr>
        <w:spacing w:after="120" w:line="276" w:lineRule="auto"/>
        <w:ind w:left="720" w:hanging="720"/>
        <w:jc w:val="both"/>
        <w:rPr>
          <w:lang w:val="en-US"/>
        </w:rPr>
      </w:pPr>
      <w:r w:rsidRPr="0006394C">
        <w:rPr>
          <w:lang w:val="en-US"/>
        </w:rPr>
        <w:t xml:space="preserve">The Movie Database (TMDB). (s. f.). Getting Started — TMDB API. </w:t>
      </w:r>
      <w:proofErr w:type="spellStart"/>
      <w:r w:rsidRPr="0006394C">
        <w:rPr>
          <w:lang w:val="en-US"/>
        </w:rPr>
        <w:t>Recuperado</w:t>
      </w:r>
      <w:proofErr w:type="spellEnd"/>
      <w:r w:rsidRPr="0006394C">
        <w:rPr>
          <w:lang w:val="en-US"/>
        </w:rPr>
        <w:t xml:space="preserve"> de https://developer.themoviedb.org/docs/getting-started</w:t>
      </w:r>
    </w:p>
    <w:sectPr w:rsidR="005E2D39" w:rsidRPr="000639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54AB"/>
    <w:multiLevelType w:val="hybridMultilevel"/>
    <w:tmpl w:val="E808357A"/>
    <w:lvl w:ilvl="0" w:tplc="1534F4F4">
      <w:start w:val="1"/>
      <w:numFmt w:val="bullet"/>
      <w:lvlText w:val="•"/>
      <w:lvlJc w:val="left"/>
      <w:pPr>
        <w:ind w:left="360" w:hanging="360"/>
      </w:pPr>
    </w:lvl>
    <w:lvl w:ilvl="1" w:tplc="F634BF5E">
      <w:numFmt w:val="decimal"/>
      <w:lvlText w:val=""/>
      <w:lvlJc w:val="left"/>
    </w:lvl>
    <w:lvl w:ilvl="2" w:tplc="F85471D8">
      <w:numFmt w:val="decimal"/>
      <w:lvlText w:val=""/>
      <w:lvlJc w:val="left"/>
    </w:lvl>
    <w:lvl w:ilvl="3" w:tplc="D93C75B2">
      <w:numFmt w:val="decimal"/>
      <w:lvlText w:val=""/>
      <w:lvlJc w:val="left"/>
    </w:lvl>
    <w:lvl w:ilvl="4" w:tplc="D2E66CD8">
      <w:numFmt w:val="decimal"/>
      <w:lvlText w:val=""/>
      <w:lvlJc w:val="left"/>
    </w:lvl>
    <w:lvl w:ilvl="5" w:tplc="2C1C9DB8">
      <w:numFmt w:val="decimal"/>
      <w:lvlText w:val=""/>
      <w:lvlJc w:val="left"/>
    </w:lvl>
    <w:lvl w:ilvl="6" w:tplc="251029A4">
      <w:numFmt w:val="decimal"/>
      <w:lvlText w:val=""/>
      <w:lvlJc w:val="left"/>
    </w:lvl>
    <w:lvl w:ilvl="7" w:tplc="0340259A">
      <w:numFmt w:val="decimal"/>
      <w:lvlText w:val=""/>
      <w:lvlJc w:val="left"/>
    </w:lvl>
    <w:lvl w:ilvl="8" w:tplc="076E771C">
      <w:numFmt w:val="decimal"/>
      <w:lvlText w:val=""/>
      <w:lvlJc w:val="left"/>
    </w:lvl>
  </w:abstractNum>
  <w:abstractNum w:abstractNumId="1" w15:restartNumberingAfterBreak="0">
    <w:nsid w:val="57FE69D2"/>
    <w:multiLevelType w:val="hybridMultilevel"/>
    <w:tmpl w:val="B1B0587C"/>
    <w:lvl w:ilvl="0" w:tplc="16AE4EB0">
      <w:start w:val="1"/>
      <w:numFmt w:val="bullet"/>
      <w:lvlText w:val="●"/>
      <w:lvlJc w:val="left"/>
      <w:pPr>
        <w:ind w:left="720" w:hanging="360"/>
      </w:pPr>
    </w:lvl>
    <w:lvl w:ilvl="1" w:tplc="3738C218">
      <w:start w:val="1"/>
      <w:numFmt w:val="bullet"/>
      <w:lvlText w:val="○"/>
      <w:lvlJc w:val="left"/>
      <w:pPr>
        <w:ind w:left="1440" w:hanging="360"/>
      </w:pPr>
    </w:lvl>
    <w:lvl w:ilvl="2" w:tplc="940AA856">
      <w:start w:val="1"/>
      <w:numFmt w:val="bullet"/>
      <w:lvlText w:val="■"/>
      <w:lvlJc w:val="left"/>
      <w:pPr>
        <w:ind w:left="2160" w:hanging="360"/>
      </w:pPr>
    </w:lvl>
    <w:lvl w:ilvl="3" w:tplc="726620F6">
      <w:start w:val="1"/>
      <w:numFmt w:val="bullet"/>
      <w:lvlText w:val="●"/>
      <w:lvlJc w:val="left"/>
      <w:pPr>
        <w:ind w:left="2880" w:hanging="360"/>
      </w:pPr>
    </w:lvl>
    <w:lvl w:ilvl="4" w:tplc="C9069B84">
      <w:start w:val="1"/>
      <w:numFmt w:val="bullet"/>
      <w:lvlText w:val="○"/>
      <w:lvlJc w:val="left"/>
      <w:pPr>
        <w:ind w:left="3600" w:hanging="360"/>
      </w:pPr>
    </w:lvl>
    <w:lvl w:ilvl="5" w:tplc="840EB2A4">
      <w:start w:val="1"/>
      <w:numFmt w:val="bullet"/>
      <w:lvlText w:val="■"/>
      <w:lvlJc w:val="left"/>
      <w:pPr>
        <w:ind w:left="4320" w:hanging="360"/>
      </w:pPr>
    </w:lvl>
    <w:lvl w:ilvl="6" w:tplc="AB30D83C">
      <w:start w:val="1"/>
      <w:numFmt w:val="bullet"/>
      <w:lvlText w:val="●"/>
      <w:lvlJc w:val="left"/>
      <w:pPr>
        <w:ind w:left="5040" w:hanging="360"/>
      </w:pPr>
    </w:lvl>
    <w:lvl w:ilvl="7" w:tplc="F506A25C">
      <w:start w:val="1"/>
      <w:numFmt w:val="bullet"/>
      <w:lvlText w:val="●"/>
      <w:lvlJc w:val="left"/>
      <w:pPr>
        <w:ind w:left="5760" w:hanging="360"/>
      </w:pPr>
    </w:lvl>
    <w:lvl w:ilvl="8" w:tplc="471EA9B2">
      <w:start w:val="1"/>
      <w:numFmt w:val="bullet"/>
      <w:lvlText w:val="●"/>
      <w:lvlJc w:val="left"/>
      <w:pPr>
        <w:ind w:left="6480" w:hanging="360"/>
      </w:pPr>
    </w:lvl>
  </w:abstractNum>
  <w:abstractNum w:abstractNumId="2" w15:restartNumberingAfterBreak="0">
    <w:nsid w:val="58DD5867"/>
    <w:multiLevelType w:val="hybridMultilevel"/>
    <w:tmpl w:val="5AC00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2434540">
    <w:abstractNumId w:val="1"/>
    <w:lvlOverride w:ilvl="0">
      <w:startOverride w:val="1"/>
    </w:lvlOverride>
  </w:num>
  <w:num w:numId="2" w16cid:durableId="1785073811">
    <w:abstractNumId w:val="0"/>
    <w:lvlOverride w:ilvl="0">
      <w:startOverride w:val="1"/>
    </w:lvlOverride>
  </w:num>
  <w:num w:numId="3" w16cid:durableId="1781949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D39"/>
    <w:rsid w:val="0006394C"/>
    <w:rsid w:val="000B6C36"/>
    <w:rsid w:val="00126310"/>
    <w:rsid w:val="005E2D39"/>
    <w:rsid w:val="006C55D2"/>
    <w:rsid w:val="007924CC"/>
    <w:rsid w:val="00960D17"/>
    <w:rsid w:val="00B25840"/>
    <w:rsid w:val="00B54AD5"/>
    <w:rsid w:val="00C10AE2"/>
    <w:rsid w:val="00C65BB5"/>
    <w:rsid w:val="00CD74FD"/>
    <w:rsid w:val="00FC1A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86AF"/>
  <w15:docId w15:val="{010A50EA-4025-4376-AF8F-C4983DC0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3864"/>
      <w:sz w:val="30"/>
      <w:szCs w:val="30"/>
    </w:rPr>
  </w:style>
  <w:style w:type="paragraph" w:styleId="Ttulo2">
    <w:name w:val="heading 2"/>
    <w:uiPriority w:val="9"/>
    <w:unhideWhenUsed/>
    <w:qFormat/>
    <w:pPr>
      <w:spacing w:before="2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36ACF-DE6D-4E6C-A32E-39F63865B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1536</Words>
  <Characters>8451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Oblea</cp:lastModifiedBy>
  <cp:revision>3</cp:revision>
  <dcterms:created xsi:type="dcterms:W3CDTF">2026-07-08T20:00:00Z</dcterms:created>
  <dcterms:modified xsi:type="dcterms:W3CDTF">2026-07-08T20:03:00Z</dcterms:modified>
</cp:coreProperties>
</file>