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Renato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- Criação da documentação do projeto (Finalizar)</w:t>
        <w:br w:type="textWrapping"/>
        <w:t xml:space="preserve">- Criação de ambiente back e front</w:t>
        <w:br w:type="textWrapping"/>
        <w:t xml:space="preserve">— criar o layout (Scratch)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DockerCompose base de ambiente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Alexandre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- Estudar o Git/Github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(Depois da criação do ambiente): rever o código do sistema de login:</w:t>
        <w:br w:type="textWrapping"/>
        <w:tab/>
        <w:tab/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https://github.com/alexandreborges253/login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-e auxiliar na estruturação do banco de dados (MySQL)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Ricardo</w:t>
      </w:r>
      <w:r w:rsidDel="00000000" w:rsidR="00000000" w:rsidRPr="00000000">
        <w:rPr>
          <w:rtl w:val="0"/>
        </w:rPr>
        <w:t xml:space="preserve">: </w:t>
        <w:br w:type="textWrapping"/>
        <w:t xml:space="preserve">- Documentar etapas do projeto</w:t>
        <w:br w:type="textWrapping"/>
        <w:t xml:space="preserve">- auxiliar na estruturação do banco de dados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Criação (conceitual ou não) schema de banco de dados (caso necessário)</w:t>
        <w:br w:type="textWrapping"/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Leandro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Criação de scratch front end(Jornada do Usuário)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criação/Ajuste da documentação do Brand Guide — Ponte Jurídica</w:t>
        <w:br w:type="textWrapping"/>
        <w:t xml:space="preserve">- caso necessário, criação do UI/UX no Figma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alexandreborges253/log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