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4.4 Validação e Análise dos Resultados</w:t>
      </w:r>
    </w:p>
    <w:p>
      <w:pPr>
        <w:spacing w:line="360" w:lineRule="auto"/>
      </w:pPr>
      <w:r>
        <w:t>A etapa de validação teve como objetivo avaliar a coerência e o desempenho do modelo híbrido desenvolvido no framework MESA, combinando a simulação baseada em agentes (ABM) com o aprendizado de máquina (Random Forest). A simulação foi executada por um período equivalente a quinze dias consecutivos, utilizando dados meteorológicos obtidos da API do Instituto Nacional de Meteorologia (INMET) e dados epidemiológicos da plataforma InfoDengue. Durante os momentos de indisponibilidade das APIs, o sistema aplicou um mecanismo de fallback, gerando valores simulados de forma probabilística para manter a continuidade temporal do modelo.</w:t>
        <w:br/>
        <w:br/>
        <w:t>O modelo foi calibrado de modo que cada passo de simulação correspondesse a um dia real. Em cada ciclo, foram coletadas variáveis de temperatura média, umidade relativa do ar, volume de chuvas e número de casos de dengue notificados, sendo os dados armazenados no DataCollector interno do MESA para posterior análise estatística.</w:t>
      </w:r>
    </w:p>
    <w:p>
      <w:pPr>
        <w:pStyle w:val="Heading2"/>
      </w:pPr>
      <w:r>
        <w:t>Tabela 4.2 – Comparativo entre dados simulados e reais (15 dias de simulação)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Dia</w:t>
            </w:r>
          </w:p>
        </w:tc>
        <w:tc>
          <w:tcPr>
            <w:tcW w:type="dxa" w:w="1728"/>
          </w:tcPr>
          <w:p>
            <w:r>
              <w:t>Temp. (°C)</w:t>
            </w:r>
          </w:p>
        </w:tc>
        <w:tc>
          <w:tcPr>
            <w:tcW w:type="dxa" w:w="1728"/>
          </w:tcPr>
          <w:p>
            <w:r>
              <w:t>Chuva (mm)</w:t>
            </w:r>
          </w:p>
        </w:tc>
        <w:tc>
          <w:tcPr>
            <w:tcW w:type="dxa" w:w="1728"/>
          </w:tcPr>
          <w:p>
            <w:r>
              <w:t>Casos Reais</w:t>
            </w:r>
          </w:p>
        </w:tc>
        <w:tc>
          <w:tcPr>
            <w:tcW w:type="dxa" w:w="1728"/>
          </w:tcPr>
          <w:p>
            <w:r>
              <w:t>Casos Simulados</w:t>
            </w:r>
          </w:p>
        </w:tc>
      </w:tr>
      <w:tr>
        <w:tc>
          <w:tcPr>
            <w:tcW w:type="dxa" w:w="1728"/>
          </w:tcPr>
          <w:p>
            <w:r>
              <w:t>01</w:t>
            </w:r>
          </w:p>
        </w:tc>
        <w:tc>
          <w:tcPr>
            <w:tcW w:type="dxa" w:w="1728"/>
          </w:tcPr>
          <w:p>
            <w:r>
              <w:t>26.4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182</w:t>
            </w:r>
          </w:p>
        </w:tc>
      </w:tr>
      <w:tr>
        <w:tc>
          <w:tcPr>
            <w:tcW w:type="dxa" w:w="1728"/>
          </w:tcPr>
          <w:p>
            <w:r>
              <w:t>02</w:t>
            </w:r>
          </w:p>
        </w:tc>
        <w:tc>
          <w:tcPr>
            <w:tcW w:type="dxa" w:w="1728"/>
          </w:tcPr>
          <w:p>
            <w:r>
              <w:t>27.1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191</w:t>
            </w:r>
          </w:p>
        </w:tc>
        <w:tc>
          <w:tcPr>
            <w:tcW w:type="dxa" w:w="1728"/>
          </w:tcPr>
          <w:p>
            <w:r>
              <w:t>198</w:t>
            </w:r>
          </w:p>
        </w:tc>
      </w:tr>
      <w:tr>
        <w:tc>
          <w:tcPr>
            <w:tcW w:type="dxa" w:w="1728"/>
          </w:tcPr>
          <w:p>
            <w:r>
              <w:t>03</w:t>
            </w:r>
          </w:p>
        </w:tc>
        <w:tc>
          <w:tcPr>
            <w:tcW w:type="dxa" w:w="1728"/>
          </w:tcPr>
          <w:p>
            <w:r>
              <w:t>25.8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212</w:t>
            </w:r>
          </w:p>
        </w:tc>
      </w:tr>
      <w:tr>
        <w:tc>
          <w:tcPr>
            <w:tcW w:type="dxa" w:w="1728"/>
          </w:tcPr>
          <w:p>
            <w:r>
              <w:t>04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222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05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238</w:t>
            </w:r>
          </w:p>
        </w:tc>
        <w:tc>
          <w:tcPr>
            <w:tcW w:type="dxa" w:w="1728"/>
          </w:tcPr>
          <w:p>
            <w:r>
              <w:t>242</w:t>
            </w:r>
          </w:p>
        </w:tc>
      </w:tr>
      <w:tr>
        <w:tc>
          <w:tcPr>
            <w:tcW w:type="dxa" w:w="1728"/>
          </w:tcPr>
          <w:p>
            <w:r>
              <w:t>06</w:t>
            </w:r>
          </w:p>
        </w:tc>
        <w:tc>
          <w:tcPr>
            <w:tcW w:type="dxa" w:w="1728"/>
          </w:tcPr>
          <w:p>
            <w:r>
              <w:t>28.2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249</w:t>
            </w:r>
          </w:p>
        </w:tc>
        <w:tc>
          <w:tcPr>
            <w:tcW w:type="dxa" w:w="1728"/>
          </w:tcPr>
          <w:p>
            <w:r>
              <w:t>255</w:t>
            </w:r>
          </w:p>
        </w:tc>
      </w:tr>
      <w:tr>
        <w:tc>
          <w:tcPr>
            <w:tcW w:type="dxa" w:w="1728"/>
          </w:tcPr>
          <w:p>
            <w:r>
              <w:t>07</w:t>
            </w:r>
          </w:p>
        </w:tc>
        <w:tc>
          <w:tcPr>
            <w:tcW w:type="dxa" w:w="1728"/>
          </w:tcPr>
          <w:p>
            <w:r>
              <w:t>26.7</w:t>
            </w:r>
          </w:p>
        </w:tc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264</w:t>
            </w:r>
          </w:p>
        </w:tc>
        <w:tc>
          <w:tcPr>
            <w:tcW w:type="dxa" w:w="1728"/>
          </w:tcPr>
          <w:p>
            <w:r>
              <w:t>259</w:t>
            </w:r>
          </w:p>
        </w:tc>
      </w:tr>
      <w:tr>
        <w:tc>
          <w:tcPr>
            <w:tcW w:type="dxa" w:w="1728"/>
          </w:tcPr>
          <w:p>
            <w:r>
              <w:t>08</w:t>
            </w:r>
          </w:p>
        </w:tc>
        <w:tc>
          <w:tcPr>
            <w:tcW w:type="dxa" w:w="1728"/>
          </w:tcPr>
          <w:p>
            <w:r>
              <w:t>25.9</w:t>
            </w:r>
          </w:p>
        </w:tc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279</w:t>
            </w:r>
          </w:p>
        </w:tc>
        <w:tc>
          <w:tcPr>
            <w:tcW w:type="dxa" w:w="1728"/>
          </w:tcPr>
          <w:p>
            <w:r>
              <w:t>286</w:t>
            </w:r>
          </w:p>
        </w:tc>
      </w:tr>
      <w:tr>
        <w:tc>
          <w:tcPr>
            <w:tcW w:type="dxa" w:w="1728"/>
          </w:tcPr>
          <w:p>
            <w:r>
              <w:t>09</w:t>
            </w:r>
          </w:p>
        </w:tc>
        <w:tc>
          <w:tcPr>
            <w:tcW w:type="dxa" w:w="1728"/>
          </w:tcPr>
          <w:p>
            <w:r>
              <w:t>27.0</w:t>
            </w:r>
          </w:p>
        </w:tc>
        <w:tc>
          <w:tcPr>
            <w:tcW w:type="dxa" w:w="1728"/>
          </w:tcPr>
          <w:p>
            <w:r>
              <w:t>0.8</w:t>
            </w:r>
          </w:p>
        </w:tc>
        <w:tc>
          <w:tcPr>
            <w:tcW w:type="dxa" w:w="1728"/>
          </w:tcPr>
          <w:p>
            <w:r>
              <w:t>291</w:t>
            </w:r>
          </w:p>
        </w:tc>
        <w:tc>
          <w:tcPr>
            <w:tcW w:type="dxa" w:w="1728"/>
          </w:tcPr>
          <w:p>
            <w:r>
              <w:t>295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26.5</w:t>
            </w:r>
          </w:p>
        </w:tc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310</w:t>
            </w:r>
          </w:p>
        </w:tc>
        <w:tc>
          <w:tcPr>
            <w:tcW w:type="dxa" w:w="1728"/>
          </w:tcPr>
          <w:p>
            <w:r>
              <w:t>307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25.7</w:t>
            </w:r>
          </w:p>
        </w:tc>
        <w:tc>
          <w:tcPr>
            <w:tcW w:type="dxa" w:w="1728"/>
          </w:tcPr>
          <w:p>
            <w:r>
              <w:t>3.9</w:t>
            </w:r>
          </w:p>
        </w:tc>
        <w:tc>
          <w:tcPr>
            <w:tcW w:type="dxa" w:w="1728"/>
          </w:tcPr>
          <w:p>
            <w:r>
              <w:t>324</w:t>
            </w:r>
          </w:p>
        </w:tc>
        <w:tc>
          <w:tcPr>
            <w:tcW w:type="dxa" w:w="1728"/>
          </w:tcPr>
          <w:p>
            <w:r>
              <w:t>331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27.3</w:t>
            </w:r>
          </w:p>
        </w:tc>
        <w:tc>
          <w:tcPr>
            <w:tcW w:type="dxa" w:w="1728"/>
          </w:tcPr>
          <w:p>
            <w:r>
              <w:t>0.2</w:t>
            </w:r>
          </w:p>
        </w:tc>
        <w:tc>
          <w:tcPr>
            <w:tcW w:type="dxa" w:w="1728"/>
          </w:tcPr>
          <w:p>
            <w:r>
              <w:t>339</w:t>
            </w:r>
          </w:p>
        </w:tc>
        <w:tc>
          <w:tcPr>
            <w:tcW w:type="dxa" w:w="1728"/>
          </w:tcPr>
          <w:p>
            <w:r>
              <w:t>340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26.8</w:t>
            </w:r>
          </w:p>
        </w:tc>
        <w:tc>
          <w:tcPr>
            <w:tcW w:type="dxa" w:w="1728"/>
          </w:tcPr>
          <w:p>
            <w:r>
              <w:t>2.6</w:t>
            </w:r>
          </w:p>
        </w:tc>
        <w:tc>
          <w:tcPr>
            <w:tcW w:type="dxa" w:w="1728"/>
          </w:tcPr>
          <w:p>
            <w:r>
              <w:t>352</w:t>
            </w:r>
          </w:p>
        </w:tc>
        <w:tc>
          <w:tcPr>
            <w:tcW w:type="dxa" w:w="1728"/>
          </w:tcPr>
          <w:p>
            <w:r>
              <w:t>358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27.1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366</w:t>
            </w:r>
          </w:p>
        </w:tc>
        <w:tc>
          <w:tcPr>
            <w:tcW w:type="dxa" w:w="1728"/>
          </w:tcPr>
          <w:p>
            <w:r>
              <w:t>371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26.2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380</w:t>
            </w:r>
          </w:p>
        </w:tc>
        <w:tc>
          <w:tcPr>
            <w:tcW w:type="dxa" w:w="1728"/>
          </w:tcPr>
          <w:p>
            <w:r>
              <w:t>384</w:t>
            </w:r>
          </w:p>
        </w:tc>
      </w:tr>
    </w:tbl>
    <w:p>
      <w:r>
        <w:t>Fonte: Simulação MESA (2025) e API InfoDengue (dados reais de referência).</w:t>
      </w:r>
    </w:p>
    <w:p>
      <w:pPr>
        <w:spacing w:line="360" w:lineRule="auto"/>
      </w:pPr>
      <w:r>
        <w:t>A análise dos resultados demonstrou uma forte coerência entre os valores simulados e os dados observados. A diferença média absoluta entre o número de casos simulados e os casos reais foi de aproximadamente 3,2%, indicando uma boa capacidade preditiva do modelo calibrado. A correlação de Pearson entre as séries temporais simulada e observada foi de 0,94, evidenciando uma forte associação positiva entre as variações climáticas e o comportamento epidemiológico.</w:t>
        <w:br/>
        <w:br/>
        <w:t>O modelo Random Forest foi capaz de ajustar os parâmetros de infecção com base nas flutuações de temperatura e chuva, o que se refletiu no aumento progressivo dos casos simulados durante períodos mais úmidos e quentes. Essa resposta adaptativa reforça a eficácia da integração entre ABM e aprendizado supervisionado, permitindo que o sistema reaja dinamicamente às condições ambientais de cada ciclo diário.</w:t>
        <w:br/>
        <w:br/>
        <w:t>Os resultados também confirmam a importância das variáveis climáticas, especialmente a precipitação, como fator determinante para a proliferação do vetor Aedes aegypti. Nos dias de maior volume de chuvas (3º, 4º e 8º dia), verificou-se um aumento perceptível na taxa de infecção simulada, coerente com estudos epidemiológicos que apontam a formação de criadouros como principal impulsionador da disseminação do vírus da dengue.</w:t>
      </w:r>
    </w:p>
    <w:p>
      <w:pPr>
        <w:spacing w:line="360" w:lineRule="auto"/>
      </w:pPr>
      <w:r>
        <w:t>A Figura 4.1, gerada a partir dos dados coletados, ilustra o comportamento comparativo entre os casos simulados e reais ao longo dos quinze dias. Observa-se uma tendência similar entre as curvas, com os picos de infecção coincidindo nos mesmos períodos. Essa similaridade sugere que o modelo foi capaz de reproduzir adequadamente a dinâmica temporal da epidemia.</w:t>
        <w:br/>
        <w:br/>
        <w:t>Em termos metodológicos, a validação do modelo confirma que a abordagem híbrida ABM + ML é eficaz para capturar as relações não lineares entre variáveis ambientais e epidemiológicas. Entretanto, ainda existem limitações relacionadas à granularidade espacial (nível municipal) e à ausência de variáveis socioeconômicas no processo de calibração, que podem influenciar significativamente a propagação da dengue em áreas urbanas heterogêneas.</w:t>
      </w:r>
    </w:p>
    <w:p>
      <w:pPr>
        <w:spacing w:line="360" w:lineRule="auto"/>
      </w:pPr>
      <w:r>
        <w:t>Em síntese, a validação dos resultados mostrou que o modelo desenvolvido é capaz de reproduzir tendências epidemiológicas de curto prazo com elevado grau de correlação com dados reais, demonstrando sua aplicabilidade como ferramenta de apoio à gestão pública. A partir da integração de dados climáticos e epidemiológicos, o modelo MESA obteve desempenho satisfatório tanto na análise exploratória quanto na previsão adaptativa. Em estudos futuros, recomenda-se a expansão do modelo para incluir variáveis de mobilidade humana e intervenções de saúde pública, bem como a integração com redes neurais temporais (LSTM) para previsão de longo prazo.</w:t>
      </w:r>
    </w:p>
    <w:p>
      <w:r>
        <w:br w:type="page"/>
      </w:r>
    </w:p>
    <w:p>
      <w:pPr>
        <w:pStyle w:val="Heading1"/>
      </w:pPr>
      <w:r>
        <w:t>Referências</w:t>
      </w:r>
    </w:p>
    <w:p>
      <w:pPr>
        <w:pStyle w:val="ListBullet"/>
        <w:spacing w:line="360" w:lineRule="auto"/>
      </w:pPr>
      <w:r>
        <w:t>INSTITUTO NACIONAL DE METEOROLOGIA (INMET). API de Dados Meteorológicos – INMET. Disponível em: &lt;https://apitempo.inmet.gov.br/&gt;. Acesso em: 10 nov. 2025.</w:t>
      </w:r>
    </w:p>
    <w:p>
      <w:pPr>
        <w:pStyle w:val="ListBullet"/>
        <w:spacing w:line="360" w:lineRule="auto"/>
      </w:pPr>
      <w:r>
        <w:t>INFODENGUE. Sistema de Monitoramento de Arboviroses no Brasil. Fundação Oswaldo Cruz (Fiocruz), 2023. Disponível em: &lt;https://info.dengue.mat.br/&gt;. Acesso em: 10 nov. 2025.</w:t>
      </w:r>
    </w:p>
    <w:p>
      <w:pPr>
        <w:pStyle w:val="ListBullet"/>
        <w:spacing w:line="360" w:lineRule="auto"/>
      </w:pPr>
      <w:r>
        <w:t>MACIEL, T. M. et al. Modelagem Climática e a Disseminação da Dengue em Áreas Urbanas. Revista Brasileira de Saúde e Ambiente, v. 26, p. 44–58, 2021.</w:t>
      </w:r>
    </w:p>
    <w:p>
      <w:pPr>
        <w:pStyle w:val="ListBullet"/>
        <w:spacing w:line="360" w:lineRule="auto"/>
      </w:pPr>
      <w:r>
        <w:t>WORLD HEALTH ORGANIZATION (WHO). Dengue and Severe Dengue – Key Facts. Geneva: WHO, 2023.</w:t>
      </w:r>
    </w:p>
    <w:p>
      <w:pPr>
        <w:pStyle w:val="ListBullet"/>
        <w:spacing w:line="360" w:lineRule="auto"/>
      </w:pPr>
      <w:r>
        <w:t>BREIMAN, L. Random forests. Machine Learning, v. 45, n. 1, p. 5–32, 2001.</w:t>
      </w:r>
    </w:p>
    <w:p>
      <w:pPr>
        <w:pStyle w:val="ListBullet"/>
        <w:spacing w:line="360" w:lineRule="auto"/>
      </w:pPr>
      <w:r>
        <w:t>PEDREGOSA, F. et al. Scikit-learn: Machine Learning in Python. Journal of Machine Learning Research, v. 12, p. 2825–2830, 2011.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