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2F3D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14:paraId="558A16EB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14:paraId="2D9E1475" w14:textId="6C046495"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9B2887">
        <w:rPr>
          <w:rFonts w:ascii="Times New Roman" w:hAnsi="Times New Roman" w:cs="Times New Roman"/>
          <w:lang w:val="mn-MN"/>
        </w:rPr>
        <w:t>Оффис</w:t>
      </w:r>
      <w:r w:rsidR="00102200" w:rsidRPr="00816367">
        <w:rPr>
          <w:rFonts w:ascii="Times New Roman" w:hAnsi="Times New Roman" w:cs="Times New Roman"/>
          <w:lang w:val="mn-MN"/>
        </w:rPr>
        <w:t xml:space="preserve">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14:paraId="66B4509E" w14:textId="0790E8DF" w:rsidR="0082262E" w:rsidRPr="00816367" w:rsidRDefault="0022031D" w:rsidP="009B288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14:paraId="2E85A5DA" w14:textId="10419FAB"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FBA5" wp14:editId="25EBB54C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</w:t>
      </w:r>
      <w:r w:rsidR="009B2887">
        <w:rPr>
          <w:rFonts w:ascii="Times New Roman" w:hAnsi="Times New Roman" w:cs="Times New Roman"/>
          <w:lang w:val="mn-MN"/>
        </w:rPr>
        <w:t>5</w:t>
      </w:r>
      <w:r w:rsidR="004348D8" w:rsidRPr="00816367">
        <w:rPr>
          <w:rFonts w:ascii="Times New Roman" w:hAnsi="Times New Roman" w:cs="Times New Roman"/>
        </w:rPr>
        <w:t>.07.0</w:t>
      </w:r>
      <w:r w:rsidR="004E351B">
        <w:rPr>
          <w:rFonts w:ascii="Times New Roman" w:hAnsi="Times New Roman" w:cs="Times New Roman"/>
        </w:rPr>
        <w:t>3</w:t>
      </w:r>
    </w:p>
    <w:p w14:paraId="5838579D" w14:textId="77777777"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14:paraId="0485FD74" w14:textId="77777777" w:rsidR="00102200" w:rsidRPr="00816367" w:rsidRDefault="003A6C3E" w:rsidP="00535DAC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1. </w:t>
      </w:r>
      <w:r w:rsidR="00102200" w:rsidRPr="00816367">
        <w:rPr>
          <w:rFonts w:ascii="Times New Roman" w:hAnsi="Times New Roman" w:cs="Times New Roman"/>
          <w:b/>
          <w:u w:val="single"/>
          <w:lang w:val="mn-MN"/>
        </w:rPr>
        <w:t xml:space="preserve">Орон сууцны үнэлгээний аргачлал: </w:t>
      </w:r>
    </w:p>
    <w:p w14:paraId="25E25F74" w14:textId="139930A6" w:rsidR="006867B9" w:rsidRPr="00816367" w:rsidRDefault="00385EE1" w:rsidP="00385EE1">
      <w:pPr>
        <w:ind w:firstLine="720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Хөрөнгийн үнэлгээг хялбаршуулах түргэн шуурхай болгох ажлын хүрээнд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Хашаа байшин үнэлэх аргачлал”, “Орон сууц үнэлэх аргачлал” зэргийг шат дараалалтай нэвтрүүлж байгаа билээ. Энэ ажлын хүрээнд</w:t>
      </w:r>
      <w:r w:rsidR="006867B9" w:rsidRPr="00816367">
        <w:rPr>
          <w:rFonts w:ascii="Times New Roman" w:hAnsi="Times New Roman" w:cs="Times New Roman"/>
          <w:lang w:val="mn-MN"/>
        </w:rPr>
        <w:t xml:space="preserve"> үнэлгээчний зүгээс “</w:t>
      </w:r>
      <w:r>
        <w:rPr>
          <w:rFonts w:ascii="Times New Roman" w:hAnsi="Times New Roman" w:cs="Times New Roman"/>
          <w:lang w:val="mn-MN"/>
        </w:rPr>
        <w:t>Оффис</w:t>
      </w:r>
      <w:r w:rsidR="006867B9" w:rsidRPr="00816367">
        <w:rPr>
          <w:rFonts w:ascii="Times New Roman" w:hAnsi="Times New Roman" w:cs="Times New Roman"/>
          <w:lang w:val="mn-MN"/>
        </w:rPr>
        <w:t xml:space="preserve">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зарчим, онцлогуудтай</w:t>
      </w:r>
      <w:r w:rsidR="00816367">
        <w:rPr>
          <w:rFonts w:ascii="Times New Roman" w:hAnsi="Times New Roman" w:cs="Times New Roman"/>
          <w:lang w:val="mn-MN"/>
        </w:rPr>
        <w:t xml:space="preserve"> байна</w:t>
      </w:r>
      <w:r w:rsidR="00A82974" w:rsidRPr="00816367">
        <w:rPr>
          <w:rFonts w:ascii="Times New Roman" w:hAnsi="Times New Roman" w:cs="Times New Roman"/>
          <w:lang w:val="mn-MN"/>
        </w:rPr>
        <w:t>. Үүнд:</w:t>
      </w:r>
    </w:p>
    <w:p w14:paraId="7874BB3B" w14:textId="77777777"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proofErr w:type="spellStart"/>
      <w:r w:rsidR="00816367">
        <w:rPr>
          <w:rFonts w:ascii="Times New Roman" w:hAnsi="Times New Roman" w:cs="Times New Roman"/>
        </w:rPr>
        <w:t>Mycapitron</w:t>
      </w:r>
      <w:proofErr w:type="spellEnd"/>
      <w:r w:rsidR="00816367">
        <w:rPr>
          <w:rFonts w:ascii="Times New Roman" w:hAnsi="Times New Roman" w:cs="Times New Roman"/>
        </w:rPr>
        <w:t>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14:paraId="313FBB53" w14:textId="77777777"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Pr="00816367">
        <w:rPr>
          <w:rFonts w:ascii="Times New Roman" w:hAnsi="Times New Roman" w:cs="Times New Roman"/>
          <w:lang w:val="mn-MN"/>
        </w:rPr>
        <w:t>Орон сууцны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14:paraId="75022069" w14:textId="413E6342" w:rsidR="00A82974" w:rsidRPr="00816367" w:rsidRDefault="00F80C79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</w:t>
      </w:r>
      <w:r w:rsidR="00A82974" w:rsidRPr="00816367">
        <w:rPr>
          <w:rFonts w:ascii="Times New Roman" w:hAnsi="Times New Roman" w:cs="Times New Roman"/>
          <w:lang w:val="mn-MN"/>
        </w:rPr>
        <w:t>Нийслэл Улаанбаатар хотын төвийн 6 дүүрэг</w:t>
      </w:r>
      <w:r w:rsidR="00725B5E">
        <w:rPr>
          <w:rFonts w:ascii="Times New Roman" w:hAnsi="Times New Roman" w:cs="Times New Roman"/>
          <w:lang w:val="mn-MN"/>
        </w:rPr>
        <w:t>т</w:t>
      </w:r>
      <w:r w:rsidR="00A82974" w:rsidRPr="00816367">
        <w:rPr>
          <w:rFonts w:ascii="Times New Roman" w:hAnsi="Times New Roman" w:cs="Times New Roman"/>
          <w:lang w:val="mn-MN"/>
        </w:rPr>
        <w:t xml:space="preserve"> байрлалтай </w:t>
      </w:r>
      <w:r w:rsidR="00725B5E">
        <w:rPr>
          <w:rFonts w:ascii="Times New Roman" w:hAnsi="Times New Roman" w:cs="Times New Roman"/>
          <w:lang w:val="mn-MN"/>
        </w:rPr>
        <w:t xml:space="preserve">оффис болон </w:t>
      </w:r>
      <w:r w:rsidR="00725B5E">
        <w:rPr>
          <w:rFonts w:ascii="Times New Roman" w:hAnsi="Times New Roman" w:cs="Times New Roman"/>
          <w:lang w:val="mn-MN"/>
        </w:rPr>
        <w:t xml:space="preserve">албан </w:t>
      </w:r>
      <w:r w:rsidR="00725B5E">
        <w:rPr>
          <w:rFonts w:ascii="Times New Roman" w:hAnsi="Times New Roman" w:cs="Times New Roman"/>
          <w:lang w:val="mn-MN"/>
        </w:rPr>
        <w:t>контор зориулалттай</w:t>
      </w:r>
      <w:r w:rsidR="00725B5E" w:rsidRPr="00816367">
        <w:rPr>
          <w:rFonts w:ascii="Times New Roman" w:hAnsi="Times New Roman" w:cs="Times New Roman"/>
          <w:lang w:val="mn-MN"/>
        </w:rPr>
        <w:t xml:space="preserve"> </w:t>
      </w:r>
      <w:r w:rsidR="00725B5E">
        <w:rPr>
          <w:rFonts w:ascii="Times New Roman" w:hAnsi="Times New Roman" w:cs="Times New Roman"/>
          <w:lang w:val="mn-MN"/>
        </w:rPr>
        <w:t xml:space="preserve">барилга </w:t>
      </w:r>
      <w:r w:rsidR="00A82974" w:rsidRPr="00816367">
        <w:rPr>
          <w:rFonts w:ascii="Times New Roman" w:hAnsi="Times New Roman" w:cs="Times New Roman"/>
          <w:lang w:val="mn-MN"/>
        </w:rPr>
        <w:t>бүрийг үнэлнэ.</w:t>
      </w:r>
    </w:p>
    <w:p w14:paraId="6DA2645D" w14:textId="245D1DEF" w:rsidR="00D43DDE" w:rsidRPr="00816367" w:rsidRDefault="00725B5E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 үнэ</w:t>
      </w:r>
      <w:r w:rsidR="005C4ED2" w:rsidRPr="00816367">
        <w:rPr>
          <w:rFonts w:ascii="Times New Roman" w:hAnsi="Times New Roman" w:cs="Times New Roman"/>
          <w:lang w:val="mn-MN"/>
        </w:rPr>
        <w:t xml:space="preserve"> нь </w:t>
      </w:r>
      <w:r w:rsidR="00D43DDE" w:rsidRPr="00816367">
        <w:rPr>
          <w:rFonts w:ascii="Times New Roman" w:hAnsi="Times New Roman" w:cs="Times New Roman"/>
          <w:lang w:val="mn-MN"/>
        </w:rPr>
        <w:t>Зах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1576A4" w:rsidRPr="00816367">
        <w:rPr>
          <w:rFonts w:ascii="Times New Roman" w:hAnsi="Times New Roman" w:cs="Times New Roman"/>
          <w:lang w:val="mn-MN"/>
        </w:rPr>
        <w:t xml:space="preserve"> үнэлэгдсэн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14:paraId="09F12652" w14:textId="2FE36059"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14:paraId="0357C5E0" w14:textId="3F6998AF" w:rsidR="001A4056" w:rsidRPr="00816367" w:rsidRDefault="00181A14" w:rsidP="001A40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дор дурдсан тохиолдолд </w:t>
      </w:r>
      <w:r w:rsidR="00725B5E">
        <w:rPr>
          <w:rFonts w:ascii="Times New Roman" w:hAnsi="Times New Roman" w:cs="Times New Roman"/>
          <w:lang w:val="mn-MN"/>
        </w:rPr>
        <w:t>оффисыг</w:t>
      </w:r>
      <w:r w:rsidRPr="00816367">
        <w:rPr>
          <w:rFonts w:ascii="Times New Roman" w:hAnsi="Times New Roman" w:cs="Times New Roman"/>
          <w:lang w:val="mn-MN"/>
        </w:rPr>
        <w:t xml:space="preserve"> үнэлэхгүй. Үүнд:</w:t>
      </w:r>
    </w:p>
    <w:p w14:paraId="594ECAAF" w14:textId="6163829F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Барьцаалах </w:t>
      </w:r>
      <w:r w:rsidR="00725B5E"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 нь Улаанбаатар хот</w:t>
      </w:r>
      <w:r w:rsidR="00725B5E">
        <w:rPr>
          <w:rFonts w:ascii="Times New Roman" w:hAnsi="Times New Roman" w:cs="Times New Roman"/>
          <w:lang w:val="mn-MN"/>
        </w:rPr>
        <w:t>од</w:t>
      </w:r>
      <w:r w:rsidRPr="00816367">
        <w:rPr>
          <w:rFonts w:ascii="Times New Roman" w:hAnsi="Times New Roman" w:cs="Times New Roman"/>
          <w:lang w:val="mn-MN"/>
        </w:rPr>
        <w:t xml:space="preserve">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3EC29123" w14:textId="7C71D30C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Ашиглалтанд орж буй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3B0D0AA5" w14:textId="1586DA12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дотроо 2 давхар бөгөөд 2-р давхар нь мансардын давхар, техникийн давхарт байрлалтай </w:t>
      </w:r>
      <w:r w:rsidR="00725B5E"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. </w:t>
      </w:r>
    </w:p>
    <w:p w14:paraId="7E5E41B1" w14:textId="31D53748" w:rsidR="001A4056" w:rsidRPr="00816367" w:rsidRDefault="00725B5E" w:rsidP="006F00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</w:t>
      </w:r>
      <w:r w:rsidR="00181A14" w:rsidRPr="00816367">
        <w:rPr>
          <w:rFonts w:ascii="Times New Roman" w:hAnsi="Times New Roman" w:cs="Times New Roman"/>
          <w:lang w:val="mn-MN"/>
        </w:rPr>
        <w:t xml:space="preserve"> бус зориулалттай барилга дотор байрлалтай, бүтээц болон орц гарц, зохион байгуулалт нь нийтлэг бус</w:t>
      </w:r>
      <w:r>
        <w:rPr>
          <w:rFonts w:ascii="Times New Roman" w:hAnsi="Times New Roman" w:cs="Times New Roman"/>
          <w:lang w:val="mn-MN"/>
        </w:rPr>
        <w:t xml:space="preserve"> оффис</w:t>
      </w:r>
      <w:r w:rsidR="00181A14" w:rsidRPr="00816367">
        <w:rPr>
          <w:rFonts w:ascii="Times New Roman" w:hAnsi="Times New Roman" w:cs="Times New Roman"/>
          <w:lang w:val="mn-MN"/>
        </w:rPr>
        <w:t xml:space="preserve">.   </w:t>
      </w:r>
    </w:p>
    <w:p w14:paraId="010B16C5" w14:textId="34B9BB03" w:rsidR="00394DDB" w:rsidRDefault="00102200" w:rsidP="00394D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Хийгдсэн ажлын тухайд: </w:t>
      </w:r>
      <w:r w:rsidR="00A64400" w:rsidRPr="00816367">
        <w:rPr>
          <w:rFonts w:ascii="Times New Roman" w:hAnsi="Times New Roman" w:cs="Times New Roman"/>
          <w:lang w:val="mn-MN"/>
        </w:rPr>
        <w:t>Аргачлал</w:t>
      </w:r>
      <w:r w:rsidRPr="00816367">
        <w:rPr>
          <w:rFonts w:ascii="Times New Roman" w:hAnsi="Times New Roman" w:cs="Times New Roman"/>
          <w:lang w:val="mn-MN"/>
        </w:rPr>
        <w:t xml:space="preserve">ын </w:t>
      </w:r>
      <w:r w:rsidR="00A64400" w:rsidRPr="00816367">
        <w:rPr>
          <w:rFonts w:ascii="Times New Roman" w:hAnsi="Times New Roman" w:cs="Times New Roman"/>
          <w:lang w:val="mn-MN"/>
        </w:rPr>
        <w:t xml:space="preserve">үндсэн баазад </w:t>
      </w:r>
      <w:r w:rsidR="00725B5E">
        <w:rPr>
          <w:rFonts w:ascii="Times New Roman" w:hAnsi="Times New Roman" w:cs="Times New Roman"/>
          <w:lang w:val="mn-MN"/>
        </w:rPr>
        <w:t>194</w:t>
      </w:r>
      <w:r w:rsidR="00A64400" w:rsidRPr="00816367">
        <w:rPr>
          <w:rFonts w:ascii="Times New Roman" w:hAnsi="Times New Roman" w:cs="Times New Roman"/>
          <w:lang w:val="mn-MN"/>
        </w:rPr>
        <w:t xml:space="preserve"> орчим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="0002258C">
        <w:rPr>
          <w:rFonts w:ascii="Times New Roman" w:hAnsi="Times New Roman" w:cs="Times New Roman"/>
          <w:lang w:val="mn-MN"/>
        </w:rPr>
        <w:t xml:space="preserve"> барилгын мэдээллийг цуглуулсан. </w:t>
      </w:r>
    </w:p>
    <w:p w14:paraId="21753399" w14:textId="77777777" w:rsidR="00394DDB" w:rsidRPr="00394DDB" w:rsidRDefault="00394DDB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849389F" w14:textId="6F6CE3B7" w:rsidR="00D12C30" w:rsidRDefault="0002258C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394DDB">
        <w:rPr>
          <w:rFonts w:ascii="Times New Roman" w:hAnsi="Times New Roman" w:cs="Times New Roman"/>
          <w:lang w:val="mn-MN"/>
        </w:rPr>
        <w:t xml:space="preserve"> </w:t>
      </w:r>
      <w:hyperlink r:id="rId6" w:history="1">
        <w:r w:rsidR="001A14B3" w:rsidRPr="008A49C3">
          <w:rPr>
            <w:rStyle w:val="Hyperlink"/>
            <w:rFonts w:ascii="Times New Roman" w:hAnsi="Times New Roman" w:cs="Times New Roman"/>
            <w:lang w:val="mn-MN"/>
          </w:rPr>
          <w:t>https://ebarilga.ub.gov.mn/</w:t>
        </w:r>
      </w:hyperlink>
      <w:r w:rsidR="001A14B3">
        <w:rPr>
          <w:rFonts w:ascii="Times New Roman" w:hAnsi="Times New Roman" w:cs="Times New Roman"/>
          <w:lang w:val="mn-MN"/>
        </w:rPr>
        <w:t xml:space="preserve"> сайтаас </w:t>
      </w:r>
      <w:r w:rsidRPr="00394DDB">
        <w:rPr>
          <w:rFonts w:ascii="Times New Roman" w:hAnsi="Times New Roman" w:cs="Times New Roman"/>
          <w:lang w:val="mn-MN"/>
        </w:rPr>
        <w:t xml:space="preserve">УБ хотын 6 дүүргийн </w:t>
      </w:r>
      <w:r w:rsidR="001A14B3">
        <w:rPr>
          <w:rFonts w:ascii="Times New Roman" w:hAnsi="Times New Roman" w:cs="Times New Roman"/>
          <w:lang w:val="mn-MN"/>
        </w:rPr>
        <w:t xml:space="preserve">оффисын мэдээллийг цуглуулж </w:t>
      </w:r>
      <w:r w:rsidRPr="00394DDB">
        <w:rPr>
          <w:rFonts w:ascii="Times New Roman" w:hAnsi="Times New Roman" w:cs="Times New Roman"/>
          <w:lang w:val="mn-MN"/>
        </w:rPr>
        <w:t xml:space="preserve"> </w:t>
      </w:r>
      <w:r w:rsidR="001A14B3">
        <w:rPr>
          <w:rFonts w:ascii="Times New Roman" w:hAnsi="Times New Roman" w:cs="Times New Roman"/>
          <w:lang w:val="mn-MN"/>
        </w:rPr>
        <w:t>оффис</w:t>
      </w:r>
      <w:r w:rsidRPr="00394DDB">
        <w:rPr>
          <w:rFonts w:ascii="Times New Roman" w:hAnsi="Times New Roman" w:cs="Times New Roman"/>
          <w:lang w:val="mn-MN"/>
        </w:rPr>
        <w:t xml:space="preserve"> бүрийг </w:t>
      </w:r>
      <w:r w:rsidR="00102200" w:rsidRPr="00394DDB">
        <w:rPr>
          <w:rFonts w:ascii="Times New Roman" w:hAnsi="Times New Roman" w:cs="Times New Roman"/>
          <w:lang w:val="mn-MN"/>
        </w:rPr>
        <w:t>нэг бүрчлэн үнэлсэн</w:t>
      </w:r>
      <w:r w:rsidR="00394DDB">
        <w:rPr>
          <w:rFonts w:ascii="Times New Roman" w:hAnsi="Times New Roman" w:cs="Times New Roman"/>
          <w:lang w:val="mn-MN"/>
        </w:rPr>
        <w:t>.</w:t>
      </w:r>
    </w:p>
    <w:p w14:paraId="350B5BE1" w14:textId="77777777" w:rsidR="00B773D0" w:rsidRDefault="00B773D0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36D6982E" w14:textId="77CEC900" w:rsidR="001A14B3" w:rsidRDefault="001A14B3" w:rsidP="00DF7B81">
      <w:pPr>
        <w:pStyle w:val="ListParagraph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Үнэлгээнд хэрэгцээ</w:t>
      </w:r>
      <w:r w:rsidR="00B773D0">
        <w:rPr>
          <w:rFonts w:ascii="Times New Roman" w:hAnsi="Times New Roman" w:cs="Times New Roman"/>
          <w:lang w:val="mn-MN"/>
        </w:rPr>
        <w:t>т мэдээллийг</w:t>
      </w:r>
      <w:r>
        <w:rPr>
          <w:rFonts w:ascii="Times New Roman" w:hAnsi="Times New Roman" w:cs="Times New Roman"/>
          <w:lang w:val="mn-MN"/>
        </w:rPr>
        <w:t xml:space="preserve"> </w:t>
      </w:r>
      <w:r w:rsidRPr="001A14B3">
        <w:rPr>
          <w:rFonts w:ascii="Times New Roman" w:hAnsi="Times New Roman" w:cs="Times New Roman"/>
          <w:lang w:val="mn-MN"/>
        </w:rPr>
        <w:t xml:space="preserve">Unegui.mn, Zarmedee.mn, Remax.mn, Osmo.mn, UA Propeties, Facebook дээрх </w:t>
      </w:r>
      <w:r>
        <w:rPr>
          <w:rFonts w:ascii="Times New Roman" w:hAnsi="Times New Roman" w:cs="Times New Roman"/>
          <w:lang w:val="mn-MN"/>
        </w:rPr>
        <w:t>заруудыг авсан</w:t>
      </w:r>
      <w:r w:rsidR="00B773D0">
        <w:rPr>
          <w:rFonts w:ascii="Times New Roman" w:hAnsi="Times New Roman" w:cs="Times New Roman"/>
          <w:lang w:val="mn-MN"/>
        </w:rPr>
        <w:t>. Ингэхдээ</w:t>
      </w:r>
      <w:r>
        <w:rPr>
          <w:rFonts w:ascii="Times New Roman" w:hAnsi="Times New Roman" w:cs="Times New Roman"/>
          <w:lang w:val="mn-MN"/>
        </w:rPr>
        <w:t xml:space="preserve"> дата цуглуулах, цэвэрлэх </w:t>
      </w:r>
      <w:r w:rsidR="00DF7B81">
        <w:rPr>
          <w:rFonts w:ascii="Times New Roman" w:hAnsi="Times New Roman" w:cs="Times New Roman"/>
          <w:lang w:val="mn-MN"/>
        </w:rPr>
        <w:t xml:space="preserve">болон </w:t>
      </w:r>
      <w:r>
        <w:rPr>
          <w:rFonts w:ascii="Times New Roman" w:hAnsi="Times New Roman" w:cs="Times New Roman"/>
          <w:lang w:val="mn-MN"/>
        </w:rPr>
        <w:t xml:space="preserve">үнэлэх процессыг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mn-MN"/>
        </w:rPr>
        <w:t xml:space="preserve"> хэл ашиглан</w:t>
      </w:r>
      <w:r w:rsidR="00B773D0">
        <w:rPr>
          <w:rFonts w:ascii="Times New Roman" w:hAnsi="Times New Roman" w:cs="Times New Roman"/>
          <w:lang w:val="mn-MN"/>
        </w:rPr>
        <w:t xml:space="preserve"> хүний оролцоо маш бага байхаар х</w:t>
      </w:r>
      <w:r>
        <w:rPr>
          <w:rFonts w:ascii="Times New Roman" w:hAnsi="Times New Roman" w:cs="Times New Roman"/>
          <w:lang w:val="mn-MN"/>
        </w:rPr>
        <w:t>ялбаршуулан</w:t>
      </w:r>
      <w:r w:rsidR="00B773D0">
        <w:rPr>
          <w:rFonts w:ascii="Times New Roman" w:hAnsi="Times New Roman" w:cs="Times New Roman"/>
          <w:lang w:val="mn-MN"/>
        </w:rPr>
        <w:t xml:space="preserve"> шийдсэн</w:t>
      </w:r>
      <w:r>
        <w:rPr>
          <w:rFonts w:ascii="Times New Roman" w:hAnsi="Times New Roman" w:cs="Times New Roman"/>
          <w:lang w:val="mn-MN"/>
        </w:rPr>
        <w:t xml:space="preserve">.  </w:t>
      </w:r>
      <w:r w:rsidRPr="00DF7B81">
        <w:rPr>
          <w:rFonts w:ascii="Times New Roman" w:hAnsi="Times New Roman" w:cs="Times New Roman"/>
          <w:lang w:val="mn-MN"/>
        </w:rPr>
        <w:t xml:space="preserve">Үүнд: </w:t>
      </w:r>
    </w:p>
    <w:p w14:paraId="4370F9D1" w14:textId="2F08AE12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цуглуулахад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mn-MN"/>
        </w:rPr>
        <w:t xml:space="preserve">-ны </w:t>
      </w:r>
      <w:r>
        <w:rPr>
          <w:rFonts w:ascii="Times New Roman" w:hAnsi="Times New Roman" w:cs="Times New Roman"/>
        </w:rPr>
        <w:t>Selenium</w:t>
      </w:r>
      <w:r>
        <w:rPr>
          <w:rFonts w:ascii="Times New Roman" w:hAnsi="Times New Roman" w:cs="Times New Roman"/>
          <w:lang w:val="mn-MN"/>
        </w:rPr>
        <w:t xml:space="preserve"> сан </w:t>
      </w:r>
    </w:p>
    <w:p w14:paraId="70987A9A" w14:textId="51B53A4A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цэвэрлэхэд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 </w:t>
      </w:r>
      <w:r>
        <w:rPr>
          <w:rFonts w:ascii="Times New Roman" w:hAnsi="Times New Roman" w:cs="Times New Roman"/>
          <w:lang w:val="mn-MN"/>
        </w:rPr>
        <w:t>сан</w:t>
      </w:r>
    </w:p>
    <w:p w14:paraId="2ACDAC29" w14:textId="77777777" w:rsidR="00B773D0" w:rsidRDefault="001A14B3" w:rsidP="00DC645A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 w:rsidRPr="00B773D0">
        <w:rPr>
          <w:rFonts w:ascii="Times New Roman" w:hAnsi="Times New Roman" w:cs="Times New Roman"/>
          <w:lang w:val="mn-MN"/>
        </w:rPr>
        <w:t xml:space="preserve">Оффис үнэлэхэд </w:t>
      </w:r>
      <w:r w:rsidRPr="00B773D0">
        <w:rPr>
          <w:rFonts w:ascii="Times New Roman" w:hAnsi="Times New Roman" w:cs="Times New Roman"/>
        </w:rPr>
        <w:t xml:space="preserve">Pandas, </w:t>
      </w:r>
      <w:proofErr w:type="spellStart"/>
      <w:r w:rsidR="00B773D0" w:rsidRPr="00B773D0">
        <w:rPr>
          <w:rFonts w:ascii="Times New Roman" w:hAnsi="Times New Roman" w:cs="Times New Roman"/>
        </w:rPr>
        <w:t>Numpy</w:t>
      </w:r>
      <w:proofErr w:type="spellEnd"/>
      <w:r w:rsidR="00B773D0" w:rsidRPr="00B773D0">
        <w:rPr>
          <w:rFonts w:ascii="Times New Roman" w:hAnsi="Times New Roman" w:cs="Times New Roman"/>
        </w:rPr>
        <w:t xml:space="preserve">, </w:t>
      </w:r>
      <w:proofErr w:type="spellStart"/>
      <w:r w:rsidR="00B773D0" w:rsidRPr="00B773D0">
        <w:rPr>
          <w:rFonts w:ascii="Times New Roman" w:hAnsi="Times New Roman" w:cs="Times New Roman"/>
        </w:rPr>
        <w:t>KDTree</w:t>
      </w:r>
      <w:proofErr w:type="spellEnd"/>
    </w:p>
    <w:p w14:paraId="0F802AD5" w14:textId="4E9DEC15" w:rsidR="00B773D0" w:rsidRPr="00B773D0" w:rsidRDefault="00B773D0" w:rsidP="00B773D0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proofErr w:type="spellStart"/>
      <w:r w:rsidRPr="00B773D0">
        <w:rPr>
          <w:rFonts w:ascii="Times New Roman" w:hAnsi="Times New Roman" w:cs="Times New Roman"/>
        </w:rPr>
        <w:t>Оффис</w:t>
      </w:r>
      <w:proofErr w:type="spellEnd"/>
      <w:r w:rsidRPr="00B77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үнэлгээний аргачлалыг харуулахад</w:t>
      </w:r>
      <w:r w:rsidRPr="00B773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773D0">
        <w:rPr>
          <w:rFonts w:ascii="Times New Roman" w:hAnsi="Times New Roman" w:cs="Times New Roman"/>
        </w:rPr>
        <w:t>folium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773D0">
        <w:rPr>
          <w:rFonts w:ascii="Times New Roman" w:hAnsi="Times New Roman" w:cs="Times New Roman"/>
        </w:rPr>
        <w:t>st_folium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зэрэг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сангуудыг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хэрэглэсэн</w:t>
      </w:r>
      <w:proofErr w:type="spellEnd"/>
    </w:p>
    <w:p w14:paraId="1C0DE80B" w14:textId="77777777"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656D644A" w14:textId="2E1A40B3" w:rsidR="00DF0941" w:rsidRDefault="00DF0941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br w:type="page"/>
      </w:r>
    </w:p>
    <w:p w14:paraId="09799A90" w14:textId="77777777" w:rsidR="00343CAE" w:rsidRDefault="006875D5" w:rsidP="000862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Орон сууцны үнэлгээний аргачлал нь дотоод сүлжээнд дараах байдлаар харагдана.</w:t>
      </w:r>
    </w:p>
    <w:p w14:paraId="192B3C7D" w14:textId="77777777"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ABC4767" w14:textId="63EE59A2" w:rsidR="004E55FC" w:rsidRPr="00816367" w:rsidRDefault="00005999" w:rsidP="00005999">
      <w:pPr>
        <w:pStyle w:val="ListParagraph"/>
        <w:ind w:hanging="1710"/>
        <w:jc w:val="both"/>
        <w:rPr>
          <w:rFonts w:ascii="Times New Roman" w:hAnsi="Times New Roman" w:cs="Times New Roman"/>
          <w:lang w:val="mn-MN"/>
        </w:rPr>
      </w:pPr>
      <w:r w:rsidRPr="00005999">
        <w:rPr>
          <w:rFonts w:ascii="Times New Roman" w:hAnsi="Times New Roman" w:cs="Times New Roman"/>
          <w:lang w:val="mn-MN"/>
        </w:rPr>
        <w:drawing>
          <wp:inline distT="0" distB="0" distL="0" distR="0" wp14:anchorId="49F198E8" wp14:editId="086CFA38">
            <wp:extent cx="6940550" cy="941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226" cy="94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28B" w14:textId="77777777"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14:paraId="296473D9" w14:textId="77777777"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14:paraId="0DBD0BE6" w14:textId="07F50FF8"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</w:t>
      </w:r>
      <w:r w:rsidR="00FF56C5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үнэлгээний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="00FF56C5">
        <w:rPr>
          <w:rFonts w:ascii="Times New Roman" w:hAnsi="Times New Roman" w:cs="Times New Roman"/>
          <w:lang w:val="mn-MN"/>
        </w:rPr>
        <w:t xml:space="preserve">д зохих өөрчлөлтийг оруулах шаардлагатай. </w:t>
      </w:r>
    </w:p>
    <w:p w14:paraId="61834984" w14:textId="77777777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Оффисын жишиг үнэлгээ/аргачлалаар үнэлэх</w:t>
      </w:r>
    </w:p>
    <w:p w14:paraId="04A82BF7" w14:textId="77777777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</w:p>
    <w:p w14:paraId="42AB627F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Байгууллага хариуцсан нэгж, салбар тооцооны төвийн Харилцагчийн менежер нь оффисыг зөвхөн Оффис үнэлгээний аргачлалын дагуу эрх хэмжээ харгалзахгүйгээр үнэлэх баг шаардлагатай тохиолдолд Хөрөнгийн үнэлгээчнээр үнэлүүлж болно. </w:t>
      </w:r>
    </w:p>
    <w:p w14:paraId="43EE6BB7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Байгууллагын банк хариуцсан нэгж, салбар тооцооны төвийн Харилцагчийн менежер нь орон сууцны аргачлалаар үнэлээд үр дүнг Байгууллагын банк хариуцсан нэгж, салбар тооцооны төвийн Захирал/эрхлэгчээр хянуулж, гарын үсэг зуруулан баталгаажуулан зээлийн материалд хадгална. </w:t>
      </w:r>
    </w:p>
    <w:p w14:paraId="2CA7338F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Хөрөнгийн үнэлгээчин нь Оффис үнэлэх аргачлалыг хариуцах бөгөөд уг аргачлалыг тухай бүр Зээлийн хорооны хуралд танилцуулан Гүйцэтгэх захирлын тушаалаар батлуулна. </w:t>
      </w:r>
    </w:p>
    <w:p w14:paraId="2571B3E4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 нь банкны дотоод сүлжээнд байршина. </w:t>
      </w:r>
    </w:p>
    <w:p w14:paraId="160EFB7C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аргачлалыг хагас жилд 1 /нэг/ удаа шинэчилнэ. </w:t>
      </w:r>
    </w:p>
    <w:p w14:paraId="57D28CBA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Харилцагчийн менежер дор дурдсан оффисыг Хөрөнгийн үнэлгээчнээр тухай бүр үнэлүүлнэ. Үүнд: </w:t>
      </w:r>
    </w:p>
    <w:p w14:paraId="436D9CC1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Улаанбаатар хотод байрладаг ч аргачлалд тусгагдаагүй бол;</w:t>
      </w:r>
    </w:p>
    <w:p w14:paraId="5F236224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Ашиглалтад орж буй оффисын гэрчилгээ хараахан гараагүй бол;</w:t>
      </w:r>
    </w:p>
    <w:p w14:paraId="6B78EA99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Зоорины давхар, мансардын давхар, дотроо 2 давхар бөгөөд 2-р давхар нь мансардын давхар, техникийн давхарт байрлалтай оффис бол;</w:t>
      </w:r>
    </w:p>
    <w:p w14:paraId="18CCE286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Оффисын бус зориулалттай барилгад дотор байрлалтай, бүтээц болон орц гарц, зохион байгуулалт нь нийтлэг бус, том хэмжээний террастай зэрэг онцлогтой оффис. </w:t>
      </w:r>
    </w:p>
    <w:p w14:paraId="071AFABC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Төвлөрсөн шугамд бүрэн холбогдоогүй бол;</w:t>
      </w:r>
    </w:p>
    <w:p w14:paraId="7677E7CC" w14:textId="77777777"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510A1D28" w14:textId="77777777"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14:paraId="0C0D7A66" w14:textId="653235CE" w:rsidR="00513442" w:rsidRPr="00816367" w:rsidRDefault="0064597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</w:t>
      </w:r>
      <w:r w:rsidR="00513442" w:rsidRPr="00816367">
        <w:rPr>
          <w:rFonts w:ascii="Times New Roman" w:hAnsi="Times New Roman" w:cs="Times New Roman"/>
          <w:lang w:val="mn-MN"/>
        </w:rPr>
        <w:t xml:space="preserve"> үнэлгээний аргачлалыг 202</w:t>
      </w:r>
      <w:r>
        <w:rPr>
          <w:rFonts w:ascii="Times New Roman" w:hAnsi="Times New Roman" w:cs="Times New Roman"/>
          <w:lang w:val="mn-MN"/>
        </w:rPr>
        <w:t>5</w:t>
      </w:r>
      <w:r w:rsidR="00513442" w:rsidRPr="00816367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7</w:t>
      </w:r>
      <w:r w:rsidR="00513442" w:rsidRPr="008163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="00513442" w:rsidRPr="00816367">
        <w:rPr>
          <w:rFonts w:ascii="Times New Roman" w:hAnsi="Times New Roman" w:cs="Times New Roman"/>
        </w:rPr>
        <w:t>-</w:t>
      </w:r>
      <w:r w:rsidR="00513442" w:rsidRPr="00816367">
        <w:rPr>
          <w:rFonts w:ascii="Times New Roman" w:hAnsi="Times New Roman" w:cs="Times New Roman"/>
          <w:lang w:val="mn-MN"/>
        </w:rPr>
        <w:t>ний өдрөөс 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="00513442" w:rsidRPr="00816367">
        <w:rPr>
          <w:rFonts w:ascii="Times New Roman" w:hAnsi="Times New Roman" w:cs="Times New Roman"/>
        </w:rPr>
        <w:t>;</w:t>
      </w:r>
    </w:p>
    <w:p w14:paraId="7C1D5FFC" w14:textId="78B8E766" w:rsidR="009C576E" w:rsidRPr="00816367" w:rsidRDefault="00D8396E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</w:t>
      </w:r>
      <w:r w:rsidR="00DD6E8E">
        <w:rPr>
          <w:rFonts w:ascii="Times New Roman" w:hAnsi="Times New Roman" w:cs="Times New Roman"/>
          <w:lang w:val="mn-MN"/>
        </w:rPr>
        <w:t>сын</w:t>
      </w:r>
      <w:r w:rsidR="00513442" w:rsidRPr="00816367">
        <w:rPr>
          <w:rFonts w:ascii="Times New Roman" w:hAnsi="Times New Roman" w:cs="Times New Roman"/>
          <w:lang w:val="mn-MN"/>
        </w:rPr>
        <w:t xml:space="preserve"> үнэлгээний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546ACA">
        <w:rPr>
          <w:rFonts w:ascii="Times New Roman" w:hAnsi="Times New Roman" w:cs="Times New Roman"/>
          <w:lang w:val="mn-MN"/>
        </w:rPr>
        <w:t xml:space="preserve"> сургалт орох</w:t>
      </w:r>
      <w:r w:rsidR="008A60D0" w:rsidRPr="00816367">
        <w:rPr>
          <w:rFonts w:ascii="Times New Roman" w:hAnsi="Times New Roman" w:cs="Times New Roman"/>
        </w:rPr>
        <w:t>;</w:t>
      </w:r>
    </w:p>
    <w:p w14:paraId="393E3C8D" w14:textId="37377B16" w:rsidR="00D12C30" w:rsidRPr="00DD6E8E" w:rsidRDefault="008A60D0" w:rsidP="009C2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DD6E8E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Pr="00DD6E8E">
        <w:rPr>
          <w:rFonts w:ascii="Times New Roman" w:hAnsi="Times New Roman" w:cs="Times New Roman"/>
        </w:rPr>
        <w:t>;</w:t>
      </w:r>
    </w:p>
    <w:p w14:paraId="23A5CF02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2B0334C7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14:paraId="350C80D9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4ECC9FA0" w14:textId="77777777" w:rsidR="00740271" w:rsidRDefault="00740271" w:rsidP="00740271">
      <w:pPr>
        <w:spacing w:after="0"/>
        <w:rPr>
          <w:rFonts w:ascii="Times New Roman" w:hAnsi="Times New Roman" w:cs="Times New Roman"/>
          <w:lang w:val="mn-MN"/>
        </w:rPr>
      </w:pPr>
      <w:r w:rsidRPr="009B77A4">
        <w:rPr>
          <w:rFonts w:ascii="Times New Roman" w:hAnsi="Times New Roman" w:cs="Times New Roman"/>
          <w:lang w:val="mn-MN"/>
        </w:rPr>
        <w:t>Хянасан:</w:t>
      </w:r>
      <w:r>
        <w:rPr>
          <w:rFonts w:ascii="Times New Roman" w:hAnsi="Times New Roman" w:cs="Times New Roman"/>
          <w:lang w:val="mn-MN"/>
        </w:rPr>
        <w:t xml:space="preserve"> Эрсдэл хариуцсан захирал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9B77A4">
        <w:rPr>
          <w:rFonts w:ascii="Times New Roman" w:hAnsi="Times New Roman" w:cs="Times New Roman"/>
          <w:lang w:val="mn-MN"/>
        </w:rPr>
        <w:t>..........................   / Б.</w:t>
      </w:r>
      <w:r>
        <w:rPr>
          <w:rFonts w:ascii="Times New Roman" w:hAnsi="Times New Roman" w:cs="Times New Roman"/>
          <w:lang w:val="mn-MN"/>
        </w:rPr>
        <w:t>Баттулга</w:t>
      </w:r>
      <w:r w:rsidRPr="009B77A4">
        <w:rPr>
          <w:rFonts w:ascii="Times New Roman" w:hAnsi="Times New Roman" w:cs="Times New Roman"/>
          <w:lang w:val="mn-MN"/>
        </w:rPr>
        <w:t xml:space="preserve"> /</w:t>
      </w:r>
    </w:p>
    <w:p w14:paraId="733CB2E6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7AA8092D" w14:textId="77777777" w:rsidR="0082262E" w:rsidRPr="00816367" w:rsidRDefault="00102200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14:paraId="1B750BA5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620081AA" w14:textId="5749F4A0" w:rsidR="00740271" w:rsidRDefault="006E3B24" w:rsidP="00740271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</w:t>
      </w:r>
      <w:r w:rsidR="00740271">
        <w:rPr>
          <w:rFonts w:ascii="Times New Roman" w:hAnsi="Times New Roman" w:cs="Times New Roman"/>
          <w:lang w:val="mn-MN"/>
        </w:rPr>
        <w:t xml:space="preserve">                                                     </w:t>
      </w:r>
      <w:r w:rsidR="00740271" w:rsidRPr="009B77A4">
        <w:rPr>
          <w:rFonts w:ascii="Times New Roman" w:hAnsi="Times New Roman" w:cs="Times New Roman"/>
          <w:lang w:val="mn-MN"/>
        </w:rPr>
        <w:t xml:space="preserve">..........................   / </w:t>
      </w:r>
      <w:r w:rsidR="00740271">
        <w:rPr>
          <w:rFonts w:ascii="Times New Roman" w:hAnsi="Times New Roman" w:cs="Times New Roman"/>
          <w:lang w:val="mn-MN"/>
        </w:rPr>
        <w:t>Ц.Рэнцэн</w:t>
      </w:r>
      <w:r w:rsidR="00740271" w:rsidRPr="009B77A4">
        <w:rPr>
          <w:rFonts w:ascii="Times New Roman" w:hAnsi="Times New Roman" w:cs="Times New Roman"/>
          <w:lang w:val="mn-MN"/>
        </w:rPr>
        <w:t xml:space="preserve"> /</w:t>
      </w:r>
    </w:p>
    <w:p w14:paraId="744C7C00" w14:textId="487B5131" w:rsidR="00D16134" w:rsidRPr="00816367" w:rsidRDefault="00D16134" w:rsidP="00D12C30">
      <w:pPr>
        <w:spacing w:after="0"/>
        <w:rPr>
          <w:rFonts w:ascii="Times New Roman" w:hAnsi="Times New Roman" w:cs="Times New Roman"/>
          <w:lang w:val="mn-MN"/>
        </w:rPr>
      </w:pP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82D"/>
    <w:multiLevelType w:val="hybridMultilevel"/>
    <w:tmpl w:val="B468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BB5DDC"/>
    <w:multiLevelType w:val="hybridMultilevel"/>
    <w:tmpl w:val="D60885C4"/>
    <w:lvl w:ilvl="0" w:tplc="548263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2"/>
  </w:num>
  <w:num w:numId="2" w16cid:durableId="292100354">
    <w:abstractNumId w:val="7"/>
  </w:num>
  <w:num w:numId="3" w16cid:durableId="2067870240">
    <w:abstractNumId w:val="10"/>
  </w:num>
  <w:num w:numId="4" w16cid:durableId="254021529">
    <w:abstractNumId w:val="4"/>
  </w:num>
  <w:num w:numId="5" w16cid:durableId="1093623592">
    <w:abstractNumId w:val="3"/>
  </w:num>
  <w:num w:numId="6" w16cid:durableId="1386755239">
    <w:abstractNumId w:val="5"/>
  </w:num>
  <w:num w:numId="7" w16cid:durableId="867252244">
    <w:abstractNumId w:val="11"/>
  </w:num>
  <w:num w:numId="8" w16cid:durableId="197163704">
    <w:abstractNumId w:val="9"/>
  </w:num>
  <w:num w:numId="9" w16cid:durableId="1801343373">
    <w:abstractNumId w:val="0"/>
  </w:num>
  <w:num w:numId="10" w16cid:durableId="1700812691">
    <w:abstractNumId w:val="1"/>
  </w:num>
  <w:num w:numId="11" w16cid:durableId="543100018">
    <w:abstractNumId w:val="8"/>
  </w:num>
  <w:num w:numId="12" w16cid:durableId="70735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05999"/>
    <w:rsid w:val="0002258C"/>
    <w:rsid w:val="000465B9"/>
    <w:rsid w:val="00055D25"/>
    <w:rsid w:val="0006293E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14B3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75B7"/>
    <w:rsid w:val="0022031D"/>
    <w:rsid w:val="002225E1"/>
    <w:rsid w:val="00224EC1"/>
    <w:rsid w:val="002326FC"/>
    <w:rsid w:val="00234F02"/>
    <w:rsid w:val="00236B72"/>
    <w:rsid w:val="00243774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40A47"/>
    <w:rsid w:val="003415D2"/>
    <w:rsid w:val="00343CAE"/>
    <w:rsid w:val="00344352"/>
    <w:rsid w:val="003461CC"/>
    <w:rsid w:val="00352B33"/>
    <w:rsid w:val="00365B10"/>
    <w:rsid w:val="00367CF8"/>
    <w:rsid w:val="003746AC"/>
    <w:rsid w:val="00384604"/>
    <w:rsid w:val="00385EE1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2694"/>
    <w:rsid w:val="004A2580"/>
    <w:rsid w:val="004A58EA"/>
    <w:rsid w:val="004A7314"/>
    <w:rsid w:val="004E351B"/>
    <w:rsid w:val="004E3E1F"/>
    <w:rsid w:val="004E55FC"/>
    <w:rsid w:val="004F201D"/>
    <w:rsid w:val="004F2960"/>
    <w:rsid w:val="004F4DB6"/>
    <w:rsid w:val="004F759B"/>
    <w:rsid w:val="0050014D"/>
    <w:rsid w:val="00501C8E"/>
    <w:rsid w:val="00502335"/>
    <w:rsid w:val="00512881"/>
    <w:rsid w:val="00513442"/>
    <w:rsid w:val="00513DA2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62F45"/>
    <w:rsid w:val="00572DEE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6021C7"/>
    <w:rsid w:val="00602718"/>
    <w:rsid w:val="00610A6B"/>
    <w:rsid w:val="00612098"/>
    <w:rsid w:val="006260E7"/>
    <w:rsid w:val="00632477"/>
    <w:rsid w:val="006408AE"/>
    <w:rsid w:val="00645972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25B5E"/>
    <w:rsid w:val="00732ECE"/>
    <w:rsid w:val="00734C1A"/>
    <w:rsid w:val="00740271"/>
    <w:rsid w:val="00740ED1"/>
    <w:rsid w:val="00743B88"/>
    <w:rsid w:val="00746D53"/>
    <w:rsid w:val="00750DEB"/>
    <w:rsid w:val="00751118"/>
    <w:rsid w:val="0075558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13997"/>
    <w:rsid w:val="00932DAF"/>
    <w:rsid w:val="0094434F"/>
    <w:rsid w:val="00953B4C"/>
    <w:rsid w:val="009657E8"/>
    <w:rsid w:val="00984FDB"/>
    <w:rsid w:val="009A5427"/>
    <w:rsid w:val="009B2887"/>
    <w:rsid w:val="009B653C"/>
    <w:rsid w:val="009C576E"/>
    <w:rsid w:val="009D6184"/>
    <w:rsid w:val="009E24CE"/>
    <w:rsid w:val="009F27FB"/>
    <w:rsid w:val="00A065FA"/>
    <w:rsid w:val="00A14B15"/>
    <w:rsid w:val="00A53EBC"/>
    <w:rsid w:val="00A5456A"/>
    <w:rsid w:val="00A64106"/>
    <w:rsid w:val="00A64400"/>
    <w:rsid w:val="00A82974"/>
    <w:rsid w:val="00A879B0"/>
    <w:rsid w:val="00A96EAD"/>
    <w:rsid w:val="00AA2460"/>
    <w:rsid w:val="00AA75EA"/>
    <w:rsid w:val="00AB009F"/>
    <w:rsid w:val="00AB32A1"/>
    <w:rsid w:val="00AC003E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337C4"/>
    <w:rsid w:val="00B5405F"/>
    <w:rsid w:val="00B62437"/>
    <w:rsid w:val="00B72389"/>
    <w:rsid w:val="00B773D0"/>
    <w:rsid w:val="00B86163"/>
    <w:rsid w:val="00B926B8"/>
    <w:rsid w:val="00BA0321"/>
    <w:rsid w:val="00BA5113"/>
    <w:rsid w:val="00BA6C32"/>
    <w:rsid w:val="00BC6AC4"/>
    <w:rsid w:val="00C003FC"/>
    <w:rsid w:val="00C10E8A"/>
    <w:rsid w:val="00C16012"/>
    <w:rsid w:val="00C2011E"/>
    <w:rsid w:val="00C34D2A"/>
    <w:rsid w:val="00C365AE"/>
    <w:rsid w:val="00C436FB"/>
    <w:rsid w:val="00C43EC3"/>
    <w:rsid w:val="00C57927"/>
    <w:rsid w:val="00C6050B"/>
    <w:rsid w:val="00C778CD"/>
    <w:rsid w:val="00C812A2"/>
    <w:rsid w:val="00C8252A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7535"/>
    <w:rsid w:val="00D77B28"/>
    <w:rsid w:val="00D802E4"/>
    <w:rsid w:val="00D834E8"/>
    <w:rsid w:val="00D8396E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D6E8E"/>
    <w:rsid w:val="00DE37CF"/>
    <w:rsid w:val="00DE52FB"/>
    <w:rsid w:val="00DF0941"/>
    <w:rsid w:val="00DF6DF8"/>
    <w:rsid w:val="00DF7B81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257CC"/>
    <w:rsid w:val="00F2796D"/>
    <w:rsid w:val="00F401EF"/>
    <w:rsid w:val="00F52A22"/>
    <w:rsid w:val="00F574D4"/>
    <w:rsid w:val="00F60576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D674C"/>
    <w:rsid w:val="00FE2FD5"/>
    <w:rsid w:val="00FE4177"/>
    <w:rsid w:val="00FE4401"/>
    <w:rsid w:val="00FE5659"/>
    <w:rsid w:val="00FF56C5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D00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  <w:style w:type="character" w:styleId="Hyperlink">
    <w:name w:val="Hyperlink"/>
    <w:basedOn w:val="DefaultParagraphFont"/>
    <w:uiPriority w:val="99"/>
    <w:unhideWhenUsed/>
    <w:rsid w:val="001A1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B3"/>
    <w:rPr>
      <w:color w:val="605E5C"/>
      <w:shd w:val="clear" w:color="auto" w:fill="E1DFDD"/>
    </w:rPr>
  </w:style>
  <w:style w:type="character" w:customStyle="1" w:styleId="Bodytext2">
    <w:name w:val="Body text (2)_"/>
    <w:basedOn w:val="DefaultParagraphFont"/>
    <w:link w:val="Bodytext20"/>
    <w:rsid w:val="00FF56C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F56C5"/>
    <w:pPr>
      <w:widowControl w:val="0"/>
      <w:shd w:val="clear" w:color="auto" w:fill="FFFFFF"/>
      <w:spacing w:after="0" w:line="281" w:lineRule="exact"/>
      <w:ind w:hanging="90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barilga.ub.gov.m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67</cp:revision>
  <cp:lastPrinted>2022-07-04T02:57:00Z</cp:lastPrinted>
  <dcterms:created xsi:type="dcterms:W3CDTF">2025-07-01T05:52:00Z</dcterms:created>
  <dcterms:modified xsi:type="dcterms:W3CDTF">2025-07-01T10:13:00Z</dcterms:modified>
</cp:coreProperties>
</file>