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56"/>
        </w:rPr>
        <w:t>SW4P Earn</w:t>
      </w:r>
    </w:p>
    <w:p>
      <w:pPr>
        <w:jc w:val="center"/>
      </w:pPr>
      <w:r>
        <w:rPr>
          <w:rFonts w:ascii="Arial" w:hAnsi="Arial"/>
          <w:sz w:val="28"/>
        </w:rPr>
        <w:t>Execution Plan, Technical Requirements Document, and Statement of Work</w:t>
      </w:r>
    </w:p>
    <w:p>
      <w:pPr>
        <w:jc w:val="center"/>
      </w:pPr>
      <w:r>
        <w:t>Version v0.1 | Prepared for RNDRNTWRK / $555 / SW4P | 2026-05-06</w:t>
      </w:r>
    </w:p>
    <w:p/>
    <w:p>
      <w:pPr>
        <w:jc w:val="center"/>
      </w:pPr>
      <w:r>
        <w:rPr>
          <w:b/>
          <w:sz w:val="22"/>
        </w:rPr>
        <w:t>North Star: route real 555 volume through approved pools, reward real liquidity, compound Pump/SW4P/product revenue into depth, and prove every number publicly.</w:t>
      </w:r>
    </w:p>
    <w:p>
      <w:r>
        <w:br w:type="page"/>
      </w:r>
    </w:p>
    <w:p>
      <w:pPr>
        <w:pStyle w:val="Heading1"/>
      </w:pPr>
      <w:r>
        <w:rPr>
          <w:b w:val="0"/>
        </w:rPr>
        <w:t>1. Executive Thesis</w:t>
      </w:r>
    </w:p>
    <w:p>
      <w:r>
        <w:rPr>
          <w:b w:val="0"/>
        </w:rPr>
        <w:t>SW4P Earn is a cross-chain staking and liquidity system where $555 holders and liquidity providers earn from real trading activity, while SW4P, Pump creator fees, product revenue bags, and future market-maker infrastructure compound into deeper liquidity and better execution.</w:t>
      </w:r>
    </w:p>
    <w:p>
      <w:r>
        <w:rPr>
          <w:b w:val="0"/>
        </w:rPr>
        <w:t>The product must separate real-fee yield from incentives and utility boosts. LPs earn pool fees because their capital supports pools. Global 555 lockers earn boosts, rebates, governance rights, and selected protocol rewards by explicit policy.</w:t>
      </w:r>
    </w:p>
    <w:p>
      <w:pPr>
        <w:pStyle w:val="Heading1"/>
      </w:pPr>
      <w:r>
        <w:rPr>
          <w:b w:val="0"/>
        </w:rPr>
        <w:t>2. Non-Negotiable Rules</w:t>
      </w:r>
    </w:p>
    <w:tbl>
      <w:tblPr>
        <w:tblStyle w:val="TableGrid"/>
        <w:tblW w:type="auto" w:w="0"/>
        <w:jc w:val="center"/>
        <w:tblLook w:firstColumn="1" w:firstRow="1" w:lastColumn="0" w:lastRow="0" w:noHBand="0" w:noVBand="1" w:val="04A0"/>
      </w:tblPr>
      <w:tblGrid>
        <w:gridCol w:w="5184"/>
        <w:gridCol w:w="5184"/>
      </w:tblGrid>
      <w:tr>
        <w:tc>
          <w:tcPr>
            <w:tcW w:type="dxa" w:w="2592"/>
            <w:shd w:fill="111827"/>
            <w:vAlign w:val="top"/>
          </w:tcPr>
          <w:p>
            <w:r/>
            <w:r>
              <w:rPr>
                <w:rFonts w:ascii="Arial" w:hAnsi="Arial"/>
                <w:b/>
                <w:color w:val="FFFFFF"/>
                <w:sz w:val="16"/>
              </w:rPr>
              <w:t>Rule</w:t>
            </w:r>
          </w:p>
        </w:tc>
        <w:tc>
          <w:tcPr>
            <w:tcW w:type="dxa" w:w="8352"/>
            <w:shd w:fill="111827"/>
            <w:vAlign w:val="top"/>
          </w:tcPr>
          <w:p>
            <w:r/>
            <w:r>
              <w:rPr>
                <w:rFonts w:ascii="Arial" w:hAnsi="Arial"/>
                <w:b/>
                <w:color w:val="FFFFFF"/>
                <w:sz w:val="16"/>
              </w:rPr>
              <w:t>Execution meaning</w:t>
            </w:r>
          </w:p>
        </w:tc>
      </w:tr>
      <w:tr>
        <w:tc>
          <w:tcPr>
            <w:tcW w:type="dxa" w:w="2592"/>
            <w:vAlign w:val="top"/>
          </w:tcPr>
          <w:p>
            <w:r/>
            <w:r>
              <w:rPr>
                <w:rFonts w:ascii="Arial" w:hAnsi="Arial"/>
                <w:b w:val="0"/>
                <w:sz w:val="16"/>
              </w:rPr>
              <w:t>No fake volume</w:t>
            </w:r>
          </w:p>
        </w:tc>
        <w:tc>
          <w:tcPr>
            <w:tcW w:type="dxa" w:w="8352"/>
            <w:vAlign w:val="top"/>
          </w:tcPr>
          <w:p>
            <w:r/>
            <w:r>
              <w:rPr>
                <w:rFonts w:ascii="Arial" w:hAnsi="Arial"/>
                <w:b w:val="0"/>
                <w:sz w:val="16"/>
              </w:rPr>
              <w:t>Rewards exclude wash loops, owned-wallet churn, MM internal rebalancing, and suspicious self-volume.</w:t>
            </w:r>
          </w:p>
        </w:tc>
      </w:tr>
      <w:tr>
        <w:tc>
          <w:tcPr>
            <w:tcW w:type="dxa" w:w="2592"/>
            <w:vAlign w:val="top"/>
          </w:tcPr>
          <w:p>
            <w:r/>
            <w:r>
              <w:rPr>
                <w:rFonts w:ascii="Arial" w:hAnsi="Arial"/>
                <w:b w:val="0"/>
                <w:sz w:val="16"/>
              </w:rPr>
              <w:t>No unbacked EVM supply</w:t>
            </w:r>
          </w:p>
        </w:tc>
        <w:tc>
          <w:tcPr>
            <w:tcW w:type="dxa" w:w="8352"/>
            <w:vAlign w:val="top"/>
          </w:tcPr>
          <w:p>
            <w:r/>
            <w:r>
              <w:rPr>
                <w:rFonts w:ascii="Arial" w:hAnsi="Arial"/>
                <w:b w:val="0"/>
                <w:sz w:val="16"/>
              </w:rPr>
              <w:t>EVM $555 supply must be backed by Solana locked supply through NTT accounting.</w:t>
            </w:r>
          </w:p>
        </w:tc>
      </w:tr>
      <w:tr>
        <w:tc>
          <w:tcPr>
            <w:tcW w:type="dxa" w:w="2592"/>
            <w:vAlign w:val="top"/>
          </w:tcPr>
          <w:p>
            <w:r/>
            <w:r>
              <w:rPr>
                <w:rFonts w:ascii="Arial" w:hAnsi="Arial"/>
                <w:b w:val="0"/>
                <w:sz w:val="16"/>
              </w:rPr>
              <w:t>No hidden fee stack</w:t>
            </w:r>
          </w:p>
        </w:tc>
        <w:tc>
          <w:tcPr>
            <w:tcW w:type="dxa" w:w="8352"/>
            <w:vAlign w:val="top"/>
          </w:tcPr>
          <w:p>
            <w:r/>
            <w:r>
              <w:rPr>
                <w:rFonts w:ascii="Arial" w:hAnsi="Arial"/>
                <w:b w:val="0"/>
                <w:sz w:val="16"/>
              </w:rPr>
              <w:t>SW4P fee, DEX fee, bridge cost, slippage, and fallback behavior are visible before execution.</w:t>
            </w:r>
          </w:p>
        </w:tc>
      </w:tr>
      <w:tr>
        <w:tc>
          <w:tcPr>
            <w:tcW w:type="dxa" w:w="2592"/>
            <w:vAlign w:val="top"/>
          </w:tcPr>
          <w:p>
            <w:r/>
            <w:r>
              <w:rPr>
                <w:rFonts w:ascii="Arial" w:hAnsi="Arial"/>
                <w:b w:val="0"/>
                <w:sz w:val="16"/>
              </w:rPr>
              <w:t>No misleading APY</w:t>
            </w:r>
          </w:p>
        </w:tc>
        <w:tc>
          <w:tcPr>
            <w:tcW w:type="dxa" w:w="8352"/>
            <w:vAlign w:val="top"/>
          </w:tcPr>
          <w:p>
            <w:r/>
            <w:r>
              <w:rPr>
                <w:rFonts w:ascii="Arial" w:hAnsi="Arial"/>
                <w:b w:val="0"/>
                <w:sz w:val="16"/>
              </w:rPr>
              <w:t>Dashboard splits real-fee APY, incentive APY, and utility boosts.</w:t>
            </w:r>
          </w:p>
        </w:tc>
      </w:tr>
      <w:tr>
        <w:tc>
          <w:tcPr>
            <w:tcW w:type="dxa" w:w="2592"/>
            <w:vAlign w:val="top"/>
          </w:tcPr>
          <w:p>
            <w:r/>
            <w:r>
              <w:rPr>
                <w:rFonts w:ascii="Arial" w:hAnsi="Arial"/>
                <w:b w:val="0"/>
                <w:sz w:val="16"/>
              </w:rPr>
              <w:t>Base first</w:t>
            </w:r>
          </w:p>
        </w:tc>
        <w:tc>
          <w:tcPr>
            <w:tcW w:type="dxa" w:w="8352"/>
            <w:vAlign w:val="top"/>
          </w:tcPr>
          <w:p>
            <w:r/>
            <w:r>
              <w:rPr>
                <w:rFonts w:ascii="Arial" w:hAnsi="Arial"/>
                <w:b w:val="0"/>
                <w:sz w:val="16"/>
              </w:rPr>
              <w:t>Do not fragment liquidity before Base proves route quality, TVL, and fee yield.</w:t>
            </w:r>
          </w:p>
        </w:tc>
      </w:tr>
      <w:tr>
        <w:tc>
          <w:tcPr>
            <w:tcW w:type="dxa" w:w="2592"/>
            <w:vAlign w:val="top"/>
          </w:tcPr>
          <w:p>
            <w:r/>
            <w:r>
              <w:rPr>
                <w:rFonts w:ascii="Arial" w:hAnsi="Arial"/>
                <w:b w:val="0"/>
                <w:sz w:val="16"/>
              </w:rPr>
              <w:t>Public proof first</w:t>
            </w:r>
          </w:p>
        </w:tc>
        <w:tc>
          <w:tcPr>
            <w:tcW w:type="dxa" w:w="8352"/>
            <w:vAlign w:val="top"/>
          </w:tcPr>
          <w:p>
            <w:r/>
            <w:r>
              <w:rPr>
                <w:rFonts w:ascii="Arial" w:hAnsi="Arial"/>
                <w:b w:val="0"/>
                <w:sz w:val="16"/>
              </w:rPr>
              <w:t>Dashboard must show volume, TVL, fees, rewards, NTT supply, Pump fees, buybacks, reserves, and exclusions.</w:t>
            </w:r>
          </w:p>
        </w:tc>
      </w:tr>
    </w:tbl>
    <w:p/>
    <w:p>
      <w:pPr>
        <w:pStyle w:val="Heading1"/>
      </w:pPr>
      <w:r>
        <w:rPr>
          <w:b w:val="0"/>
        </w:rPr>
        <w:t>3. 100M Token Program Allocation</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111827"/>
            <w:vAlign w:val="top"/>
          </w:tcPr>
          <w:p>
            <w:r/>
            <w:r>
              <w:rPr>
                <w:rFonts w:ascii="Arial" w:hAnsi="Arial"/>
                <w:b/>
                <w:color w:val="FFFFFF"/>
                <w:sz w:val="16"/>
              </w:rPr>
              <w:t>Bucket</w:t>
            </w:r>
          </w:p>
        </w:tc>
        <w:tc>
          <w:tcPr>
            <w:tcW w:type="dxa" w:w="2160"/>
            <w:shd w:fill="111827"/>
            <w:vAlign w:val="top"/>
          </w:tcPr>
          <w:p>
            <w:r/>
            <w:r>
              <w:rPr>
                <w:rFonts w:ascii="Arial" w:hAnsi="Arial"/>
                <w:b/>
                <w:color w:val="FFFFFF"/>
                <w:sz w:val="16"/>
              </w:rPr>
              <w:t>Allocation</w:t>
            </w:r>
          </w:p>
        </w:tc>
        <w:tc>
          <w:tcPr>
            <w:tcW w:type="dxa" w:w="6480"/>
            <w:shd w:fill="111827"/>
            <w:vAlign w:val="top"/>
          </w:tcPr>
          <w:p>
            <w:r/>
            <w:r>
              <w:rPr>
                <w:rFonts w:ascii="Arial" w:hAnsi="Arial"/>
                <w:b/>
                <w:color w:val="FFFFFF"/>
                <w:sz w:val="16"/>
              </w:rPr>
              <w:t>Purpose</w:t>
            </w:r>
          </w:p>
        </w:tc>
      </w:tr>
      <w:tr>
        <w:tc>
          <w:tcPr>
            <w:tcW w:type="dxa" w:w="3024"/>
            <w:vAlign w:val="top"/>
          </w:tcPr>
          <w:p>
            <w:r/>
            <w:r>
              <w:rPr>
                <w:rFonts w:ascii="Arial" w:hAnsi="Arial"/>
                <w:b w:val="0"/>
                <w:sz w:val="16"/>
              </w:rPr>
              <w:t>Base liquidity capacity</w:t>
            </w:r>
          </w:p>
        </w:tc>
        <w:tc>
          <w:tcPr>
            <w:tcW w:type="dxa" w:w="2160"/>
            <w:vAlign w:val="top"/>
          </w:tcPr>
          <w:p>
            <w:r/>
            <w:r>
              <w:rPr>
                <w:rFonts w:ascii="Arial" w:hAnsi="Arial"/>
                <w:b w:val="0"/>
                <w:sz w:val="16"/>
              </w:rPr>
              <w:t>40,000,000 555</w:t>
            </w:r>
          </w:p>
        </w:tc>
        <w:tc>
          <w:tcPr>
            <w:tcW w:type="dxa" w:w="6480"/>
            <w:vAlign w:val="top"/>
          </w:tcPr>
          <w:p>
            <w:r/>
            <w:r>
              <w:rPr>
                <w:rFonts w:ascii="Arial" w:hAnsi="Arial"/>
                <w:b w:val="0"/>
                <w:sz w:val="16"/>
              </w:rPr>
              <w:t>Primary EVM pool and first routing target</w:t>
            </w:r>
          </w:p>
        </w:tc>
      </w:tr>
      <w:tr>
        <w:tc>
          <w:tcPr>
            <w:tcW w:type="dxa" w:w="3024"/>
            <w:vAlign w:val="top"/>
          </w:tcPr>
          <w:p>
            <w:r/>
            <w:r>
              <w:rPr>
                <w:rFonts w:ascii="Arial" w:hAnsi="Arial"/>
                <w:b w:val="0"/>
                <w:sz w:val="16"/>
              </w:rPr>
              <w:t>Arbitrum liquidity capacity</w:t>
            </w:r>
          </w:p>
        </w:tc>
        <w:tc>
          <w:tcPr>
            <w:tcW w:type="dxa" w:w="2160"/>
            <w:vAlign w:val="top"/>
          </w:tcPr>
          <w:p>
            <w:r/>
            <w:r>
              <w:rPr>
                <w:rFonts w:ascii="Arial" w:hAnsi="Arial"/>
                <w:b w:val="0"/>
                <w:sz w:val="16"/>
              </w:rPr>
              <w:t>20,000,000 555</w:t>
            </w:r>
          </w:p>
        </w:tc>
        <w:tc>
          <w:tcPr>
            <w:tcW w:type="dxa" w:w="6480"/>
            <w:vAlign w:val="top"/>
          </w:tcPr>
          <w:p>
            <w:r/>
            <w:r>
              <w:rPr>
                <w:rFonts w:ascii="Arial" w:hAnsi="Arial"/>
                <w:b w:val="0"/>
                <w:sz w:val="16"/>
              </w:rPr>
              <w:t>Secondary DeFi-native expansion</w:t>
            </w:r>
          </w:p>
        </w:tc>
      </w:tr>
      <w:tr>
        <w:tc>
          <w:tcPr>
            <w:tcW w:type="dxa" w:w="3024"/>
            <w:vAlign w:val="top"/>
          </w:tcPr>
          <w:p>
            <w:r/>
            <w:r>
              <w:rPr>
                <w:rFonts w:ascii="Arial" w:hAnsi="Arial"/>
                <w:b w:val="0"/>
                <w:sz w:val="16"/>
              </w:rPr>
              <w:t>Polygon liquidity/campaign capacity</w:t>
            </w:r>
          </w:p>
        </w:tc>
        <w:tc>
          <w:tcPr>
            <w:tcW w:type="dxa" w:w="2160"/>
            <w:vAlign w:val="top"/>
          </w:tcPr>
          <w:p>
            <w:r/>
            <w:r>
              <w:rPr>
                <w:rFonts w:ascii="Arial" w:hAnsi="Arial"/>
                <w:b w:val="0"/>
                <w:sz w:val="16"/>
              </w:rPr>
              <w:t>10,000,000 555</w:t>
            </w:r>
          </w:p>
        </w:tc>
        <w:tc>
          <w:tcPr>
            <w:tcW w:type="dxa" w:w="6480"/>
            <w:vAlign w:val="top"/>
          </w:tcPr>
          <w:p>
            <w:r/>
            <w:r>
              <w:rPr>
                <w:rFonts w:ascii="Arial" w:hAnsi="Arial"/>
                <w:b w:val="0"/>
                <w:sz w:val="16"/>
              </w:rPr>
              <w:t>Consumer, creator, and payment experiments</w:t>
            </w:r>
          </w:p>
        </w:tc>
      </w:tr>
      <w:tr>
        <w:tc>
          <w:tcPr>
            <w:tcW w:type="dxa" w:w="3024"/>
            <w:vAlign w:val="top"/>
          </w:tcPr>
          <w:p>
            <w:r/>
            <w:r>
              <w:rPr>
                <w:rFonts w:ascii="Arial" w:hAnsi="Arial"/>
                <w:b w:val="0"/>
                <w:sz w:val="16"/>
              </w:rPr>
              <w:t>LP incentives reserve</w:t>
            </w:r>
          </w:p>
        </w:tc>
        <w:tc>
          <w:tcPr>
            <w:tcW w:type="dxa" w:w="2160"/>
            <w:vAlign w:val="top"/>
          </w:tcPr>
          <w:p>
            <w:r/>
            <w:r>
              <w:rPr>
                <w:rFonts w:ascii="Arial" w:hAnsi="Arial"/>
                <w:b w:val="0"/>
                <w:sz w:val="16"/>
              </w:rPr>
              <w:t>12,000,000 555</w:t>
            </w:r>
          </w:p>
        </w:tc>
        <w:tc>
          <w:tcPr>
            <w:tcW w:type="dxa" w:w="6480"/>
            <w:vAlign w:val="top"/>
          </w:tcPr>
          <w:p>
            <w:r/>
            <w:r>
              <w:rPr>
                <w:rFonts w:ascii="Arial" w:hAnsi="Arial"/>
                <w:b w:val="0"/>
                <w:sz w:val="16"/>
              </w:rPr>
              <w:t>Released only against real TVL and real routed volume</w:t>
            </w:r>
          </w:p>
        </w:tc>
      </w:tr>
      <w:tr>
        <w:tc>
          <w:tcPr>
            <w:tcW w:type="dxa" w:w="3024"/>
            <w:vAlign w:val="top"/>
          </w:tcPr>
          <w:p>
            <w:r/>
            <w:r>
              <w:rPr>
                <w:rFonts w:ascii="Arial" w:hAnsi="Arial"/>
                <w:b w:val="0"/>
                <w:sz w:val="16"/>
              </w:rPr>
              <w:t>Market-maker inventory reserve</w:t>
            </w:r>
          </w:p>
        </w:tc>
        <w:tc>
          <w:tcPr>
            <w:tcW w:type="dxa" w:w="2160"/>
            <w:vAlign w:val="top"/>
          </w:tcPr>
          <w:p>
            <w:r/>
            <w:r>
              <w:rPr>
                <w:rFonts w:ascii="Arial" w:hAnsi="Arial"/>
                <w:b w:val="0"/>
                <w:sz w:val="16"/>
              </w:rPr>
              <w:t>10,000,000 555</w:t>
            </w:r>
          </w:p>
        </w:tc>
        <w:tc>
          <w:tcPr>
            <w:tcW w:type="dxa" w:w="6480"/>
            <w:vAlign w:val="top"/>
          </w:tcPr>
          <w:p>
            <w:r/>
            <w:r>
              <w:rPr>
                <w:rFonts w:ascii="Arial" w:hAnsi="Arial"/>
                <w:b w:val="0"/>
                <w:sz w:val="16"/>
              </w:rPr>
              <w:t>Future callable/contracted inventory, not gifted</w:t>
            </w:r>
          </w:p>
        </w:tc>
      </w:tr>
      <w:tr>
        <w:tc>
          <w:tcPr>
            <w:tcW w:type="dxa" w:w="3024"/>
            <w:vAlign w:val="top"/>
          </w:tcPr>
          <w:p>
            <w:r/>
            <w:r>
              <w:rPr>
                <w:rFonts w:ascii="Arial" w:hAnsi="Arial"/>
                <w:b w:val="0"/>
                <w:sz w:val="16"/>
              </w:rPr>
              <w:t>Bridge/emergency reserve</w:t>
            </w:r>
          </w:p>
        </w:tc>
        <w:tc>
          <w:tcPr>
            <w:tcW w:type="dxa" w:w="2160"/>
            <w:vAlign w:val="top"/>
          </w:tcPr>
          <w:p>
            <w:r/>
            <w:r>
              <w:rPr>
                <w:rFonts w:ascii="Arial" w:hAnsi="Arial"/>
                <w:b w:val="0"/>
                <w:sz w:val="16"/>
              </w:rPr>
              <w:t>5,000,000 555</w:t>
            </w:r>
          </w:p>
        </w:tc>
        <w:tc>
          <w:tcPr>
            <w:tcW w:type="dxa" w:w="6480"/>
            <w:vAlign w:val="top"/>
          </w:tcPr>
          <w:p>
            <w:r/>
            <w:r>
              <w:rPr>
                <w:rFonts w:ascii="Arial" w:hAnsi="Arial"/>
                <w:b w:val="0"/>
                <w:sz w:val="16"/>
              </w:rPr>
              <w:t>NTT/rate-limit recovery, failed transfer recovery, ops buffer</w:t>
            </w:r>
          </w:p>
        </w:tc>
      </w:tr>
      <w:tr>
        <w:tc>
          <w:tcPr>
            <w:tcW w:type="dxa" w:w="3024"/>
            <w:vAlign w:val="top"/>
          </w:tcPr>
          <w:p>
            <w:r/>
            <w:r>
              <w:rPr>
                <w:rFonts w:ascii="Arial" w:hAnsi="Arial"/>
                <w:b w:val="0"/>
                <w:sz w:val="16"/>
              </w:rPr>
              <w:t>Partner integrations</w:t>
            </w:r>
          </w:p>
        </w:tc>
        <w:tc>
          <w:tcPr>
            <w:tcW w:type="dxa" w:w="2160"/>
            <w:vAlign w:val="top"/>
          </w:tcPr>
          <w:p>
            <w:r/>
            <w:r>
              <w:rPr>
                <w:rFonts w:ascii="Arial" w:hAnsi="Arial"/>
                <w:b w:val="0"/>
                <w:sz w:val="16"/>
              </w:rPr>
              <w:t>3,000,000 555</w:t>
            </w:r>
          </w:p>
        </w:tc>
        <w:tc>
          <w:tcPr>
            <w:tcW w:type="dxa" w:w="6480"/>
            <w:vAlign w:val="top"/>
          </w:tcPr>
          <w:p>
            <w:r/>
            <w:r>
              <w:rPr>
                <w:rFonts w:ascii="Arial" w:hAnsi="Arial"/>
                <w:b w:val="0"/>
                <w:sz w:val="16"/>
              </w:rPr>
              <w:t>Strategic apps, wallets, marketplaces, creator campaigns</w:t>
            </w:r>
          </w:p>
        </w:tc>
      </w:tr>
    </w:tbl>
    <w:p/>
    <w:p>
      <w:pPr>
        <w:pStyle w:val="Heading1"/>
      </w:pPr>
      <w:r>
        <w:rPr>
          <w:b w:val="0"/>
        </w:rPr>
        <w:t>4. FDV and Liquidity Math</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728"/>
            <w:shd w:fill="111827"/>
            <w:vAlign w:val="top"/>
          </w:tcPr>
          <w:p>
            <w:r/>
            <w:r>
              <w:rPr>
                <w:rFonts w:ascii="Arial" w:hAnsi="Arial"/>
                <w:b/>
                <w:color w:val="FFFFFF"/>
                <w:sz w:val="16"/>
              </w:rPr>
              <w:t>555 price</w:t>
            </w:r>
          </w:p>
        </w:tc>
        <w:tc>
          <w:tcPr>
            <w:tcW w:type="dxa" w:w="1728"/>
            <w:shd w:fill="111827"/>
            <w:vAlign w:val="top"/>
          </w:tcPr>
          <w:p>
            <w:r/>
            <w:r>
              <w:rPr>
                <w:rFonts w:ascii="Arial" w:hAnsi="Arial"/>
                <w:b/>
                <w:color w:val="FFFFFF"/>
                <w:sz w:val="16"/>
              </w:rPr>
              <w:t>FDV</w:t>
            </w:r>
          </w:p>
        </w:tc>
        <w:tc>
          <w:tcPr>
            <w:tcW w:type="dxa" w:w="2016"/>
            <w:shd w:fill="111827"/>
            <w:vAlign w:val="top"/>
          </w:tcPr>
          <w:p>
            <w:r/>
            <w:r>
              <w:rPr>
                <w:rFonts w:ascii="Arial" w:hAnsi="Arial"/>
                <w:b/>
                <w:color w:val="FFFFFF"/>
                <w:sz w:val="16"/>
              </w:rPr>
              <w:t>100M value</w:t>
            </w:r>
          </w:p>
        </w:tc>
        <w:tc>
          <w:tcPr>
            <w:tcW w:type="dxa" w:w="2448"/>
            <w:shd w:fill="111827"/>
            <w:vAlign w:val="top"/>
          </w:tcPr>
          <w:p>
            <w:r/>
            <w:r>
              <w:rPr>
                <w:rFonts w:ascii="Arial" w:hAnsi="Arial"/>
                <w:b/>
                <w:color w:val="FFFFFF"/>
                <w:sz w:val="16"/>
              </w:rPr>
              <w:t>USDC/ETH needed</w:t>
            </w:r>
          </w:p>
        </w:tc>
        <w:tc>
          <w:tcPr>
            <w:tcW w:type="dxa" w:w="2016"/>
            <w:shd w:fill="111827"/>
            <w:vAlign w:val="top"/>
          </w:tcPr>
          <w:p>
            <w:r/>
            <w:r>
              <w:rPr>
                <w:rFonts w:ascii="Arial" w:hAnsi="Arial"/>
                <w:b/>
                <w:color w:val="FFFFFF"/>
                <w:sz w:val="16"/>
              </w:rPr>
              <w:t>Total 50/50 TVL</w:t>
            </w:r>
          </w:p>
        </w:tc>
      </w:tr>
      <w:tr>
        <w:tc>
          <w:tcPr>
            <w:tcW w:type="dxa" w:w="1728"/>
            <w:vAlign w:val="top"/>
          </w:tcPr>
          <w:p>
            <w:r/>
            <w:r>
              <w:rPr>
                <w:rFonts w:ascii="Arial" w:hAnsi="Arial"/>
                <w:b w:val="0"/>
                <w:sz w:val="16"/>
              </w:rPr>
              <w:t>$0.0001000</w:t>
            </w:r>
          </w:p>
        </w:tc>
        <w:tc>
          <w:tcPr>
            <w:tcW w:type="dxa" w:w="1728"/>
            <w:vAlign w:val="top"/>
          </w:tcPr>
          <w:p>
            <w:r/>
            <w:r>
              <w:rPr>
                <w:rFonts w:ascii="Arial" w:hAnsi="Arial"/>
                <w:b w:val="0"/>
                <w:sz w:val="16"/>
              </w:rPr>
              <w:t>$100.0K</w:t>
            </w:r>
          </w:p>
        </w:tc>
        <w:tc>
          <w:tcPr>
            <w:tcW w:type="dxa" w:w="2016"/>
            <w:vAlign w:val="top"/>
          </w:tcPr>
          <w:p>
            <w:r/>
            <w:r>
              <w:rPr>
                <w:rFonts w:ascii="Arial" w:hAnsi="Arial"/>
                <w:b w:val="0"/>
                <w:sz w:val="16"/>
              </w:rPr>
              <w:t>$10.0K</w:t>
            </w:r>
          </w:p>
        </w:tc>
        <w:tc>
          <w:tcPr>
            <w:tcW w:type="dxa" w:w="2448"/>
            <w:vAlign w:val="top"/>
          </w:tcPr>
          <w:p>
            <w:r/>
            <w:r>
              <w:rPr>
                <w:rFonts w:ascii="Arial" w:hAnsi="Arial"/>
                <w:b w:val="0"/>
                <w:sz w:val="16"/>
              </w:rPr>
              <w:t>$10.0K</w:t>
            </w:r>
          </w:p>
        </w:tc>
        <w:tc>
          <w:tcPr>
            <w:tcW w:type="dxa" w:w="2016"/>
            <w:vAlign w:val="top"/>
          </w:tcPr>
          <w:p>
            <w:r/>
            <w:r>
              <w:rPr>
                <w:rFonts w:ascii="Arial" w:hAnsi="Arial"/>
                <w:b w:val="0"/>
                <w:sz w:val="16"/>
              </w:rPr>
              <w:t>$20.0K</w:t>
            </w:r>
          </w:p>
        </w:tc>
      </w:tr>
      <w:tr>
        <w:tc>
          <w:tcPr>
            <w:tcW w:type="dxa" w:w="1728"/>
            <w:vAlign w:val="top"/>
          </w:tcPr>
          <w:p>
            <w:r/>
            <w:r>
              <w:rPr>
                <w:rFonts w:ascii="Arial" w:hAnsi="Arial"/>
                <w:b w:val="0"/>
                <w:sz w:val="16"/>
              </w:rPr>
              <w:t>$0.0010000</w:t>
            </w:r>
          </w:p>
        </w:tc>
        <w:tc>
          <w:tcPr>
            <w:tcW w:type="dxa" w:w="1728"/>
            <w:vAlign w:val="top"/>
          </w:tcPr>
          <w:p>
            <w:r/>
            <w:r>
              <w:rPr>
                <w:rFonts w:ascii="Arial" w:hAnsi="Arial"/>
                <w:b w:val="0"/>
                <w:sz w:val="16"/>
              </w:rPr>
              <w:t>$1.00M</w:t>
            </w:r>
          </w:p>
        </w:tc>
        <w:tc>
          <w:tcPr>
            <w:tcW w:type="dxa" w:w="2016"/>
            <w:vAlign w:val="top"/>
          </w:tcPr>
          <w:p>
            <w:r/>
            <w:r>
              <w:rPr>
                <w:rFonts w:ascii="Arial" w:hAnsi="Arial"/>
                <w:b w:val="0"/>
                <w:sz w:val="16"/>
              </w:rPr>
              <w:t>$100.0K</w:t>
            </w:r>
          </w:p>
        </w:tc>
        <w:tc>
          <w:tcPr>
            <w:tcW w:type="dxa" w:w="2448"/>
            <w:vAlign w:val="top"/>
          </w:tcPr>
          <w:p>
            <w:r/>
            <w:r>
              <w:rPr>
                <w:rFonts w:ascii="Arial" w:hAnsi="Arial"/>
                <w:b w:val="0"/>
                <w:sz w:val="16"/>
              </w:rPr>
              <w:t>$100.0K</w:t>
            </w:r>
          </w:p>
        </w:tc>
        <w:tc>
          <w:tcPr>
            <w:tcW w:type="dxa" w:w="2016"/>
            <w:vAlign w:val="top"/>
          </w:tcPr>
          <w:p>
            <w:r/>
            <w:r>
              <w:rPr>
                <w:rFonts w:ascii="Arial" w:hAnsi="Arial"/>
                <w:b w:val="0"/>
                <w:sz w:val="16"/>
              </w:rPr>
              <w:t>$200.0K</w:t>
            </w:r>
          </w:p>
        </w:tc>
      </w:tr>
      <w:tr>
        <w:tc>
          <w:tcPr>
            <w:tcW w:type="dxa" w:w="1728"/>
            <w:vAlign w:val="top"/>
          </w:tcPr>
          <w:p>
            <w:r/>
            <w:r>
              <w:rPr>
                <w:rFonts w:ascii="Arial" w:hAnsi="Arial"/>
                <w:b w:val="0"/>
                <w:sz w:val="16"/>
              </w:rPr>
              <w:t>$0.0050000</w:t>
            </w:r>
          </w:p>
        </w:tc>
        <w:tc>
          <w:tcPr>
            <w:tcW w:type="dxa" w:w="1728"/>
            <w:vAlign w:val="top"/>
          </w:tcPr>
          <w:p>
            <w:r/>
            <w:r>
              <w:rPr>
                <w:rFonts w:ascii="Arial" w:hAnsi="Arial"/>
                <w:b w:val="0"/>
                <w:sz w:val="16"/>
              </w:rPr>
              <w:t>$5.00M</w:t>
            </w:r>
          </w:p>
        </w:tc>
        <w:tc>
          <w:tcPr>
            <w:tcW w:type="dxa" w:w="2016"/>
            <w:vAlign w:val="top"/>
          </w:tcPr>
          <w:p>
            <w:r/>
            <w:r>
              <w:rPr>
                <w:rFonts w:ascii="Arial" w:hAnsi="Arial"/>
                <w:b w:val="0"/>
                <w:sz w:val="16"/>
              </w:rPr>
              <w:t>$500.0K</w:t>
            </w:r>
          </w:p>
        </w:tc>
        <w:tc>
          <w:tcPr>
            <w:tcW w:type="dxa" w:w="2448"/>
            <w:vAlign w:val="top"/>
          </w:tcPr>
          <w:p>
            <w:r/>
            <w:r>
              <w:rPr>
                <w:rFonts w:ascii="Arial" w:hAnsi="Arial"/>
                <w:b w:val="0"/>
                <w:sz w:val="16"/>
              </w:rPr>
              <w:t>$500.0K</w:t>
            </w:r>
          </w:p>
        </w:tc>
        <w:tc>
          <w:tcPr>
            <w:tcW w:type="dxa" w:w="2016"/>
            <w:vAlign w:val="top"/>
          </w:tcPr>
          <w:p>
            <w:r/>
            <w:r>
              <w:rPr>
                <w:rFonts w:ascii="Arial" w:hAnsi="Arial"/>
                <w:b w:val="0"/>
                <w:sz w:val="16"/>
              </w:rPr>
              <w:t>$1.00M</w:t>
            </w:r>
          </w:p>
        </w:tc>
      </w:tr>
      <w:tr>
        <w:tc>
          <w:tcPr>
            <w:tcW w:type="dxa" w:w="1728"/>
            <w:vAlign w:val="top"/>
          </w:tcPr>
          <w:p>
            <w:r/>
            <w:r>
              <w:rPr>
                <w:rFonts w:ascii="Arial" w:hAnsi="Arial"/>
                <w:b w:val="0"/>
                <w:sz w:val="16"/>
              </w:rPr>
              <w:t>$0.0100000</w:t>
            </w:r>
          </w:p>
        </w:tc>
        <w:tc>
          <w:tcPr>
            <w:tcW w:type="dxa" w:w="1728"/>
            <w:vAlign w:val="top"/>
          </w:tcPr>
          <w:p>
            <w:r/>
            <w:r>
              <w:rPr>
                <w:rFonts w:ascii="Arial" w:hAnsi="Arial"/>
                <w:b w:val="0"/>
                <w:sz w:val="16"/>
              </w:rPr>
              <w:t>$10.00M</w:t>
            </w:r>
          </w:p>
        </w:tc>
        <w:tc>
          <w:tcPr>
            <w:tcW w:type="dxa" w:w="2016"/>
            <w:vAlign w:val="top"/>
          </w:tcPr>
          <w:p>
            <w:r/>
            <w:r>
              <w:rPr>
                <w:rFonts w:ascii="Arial" w:hAnsi="Arial"/>
                <w:b w:val="0"/>
                <w:sz w:val="16"/>
              </w:rPr>
              <w:t>$1.00M</w:t>
            </w:r>
          </w:p>
        </w:tc>
        <w:tc>
          <w:tcPr>
            <w:tcW w:type="dxa" w:w="2448"/>
            <w:vAlign w:val="top"/>
          </w:tcPr>
          <w:p>
            <w:r/>
            <w:r>
              <w:rPr>
                <w:rFonts w:ascii="Arial" w:hAnsi="Arial"/>
                <w:b w:val="0"/>
                <w:sz w:val="16"/>
              </w:rPr>
              <w:t>$1.00M</w:t>
            </w:r>
          </w:p>
        </w:tc>
        <w:tc>
          <w:tcPr>
            <w:tcW w:type="dxa" w:w="2016"/>
            <w:vAlign w:val="top"/>
          </w:tcPr>
          <w:p>
            <w:r/>
            <w:r>
              <w:rPr>
                <w:rFonts w:ascii="Arial" w:hAnsi="Arial"/>
                <w:b w:val="0"/>
                <w:sz w:val="16"/>
              </w:rPr>
              <w:t>$2.00M</w:t>
            </w:r>
          </w:p>
        </w:tc>
      </w:tr>
      <w:tr>
        <w:tc>
          <w:tcPr>
            <w:tcW w:type="dxa" w:w="1728"/>
            <w:vAlign w:val="top"/>
          </w:tcPr>
          <w:p>
            <w:r/>
            <w:r>
              <w:rPr>
                <w:rFonts w:ascii="Arial" w:hAnsi="Arial"/>
                <w:b w:val="0"/>
                <w:sz w:val="16"/>
              </w:rPr>
              <w:t>$0.1000000</w:t>
            </w:r>
          </w:p>
        </w:tc>
        <w:tc>
          <w:tcPr>
            <w:tcW w:type="dxa" w:w="1728"/>
            <w:vAlign w:val="top"/>
          </w:tcPr>
          <w:p>
            <w:r/>
            <w:r>
              <w:rPr>
                <w:rFonts w:ascii="Arial" w:hAnsi="Arial"/>
                <w:b w:val="0"/>
                <w:sz w:val="16"/>
              </w:rPr>
              <w:t>$100.00M</w:t>
            </w:r>
          </w:p>
        </w:tc>
        <w:tc>
          <w:tcPr>
            <w:tcW w:type="dxa" w:w="2016"/>
            <w:vAlign w:val="top"/>
          </w:tcPr>
          <w:p>
            <w:r/>
            <w:r>
              <w:rPr>
                <w:rFonts w:ascii="Arial" w:hAnsi="Arial"/>
                <w:b w:val="0"/>
                <w:sz w:val="16"/>
              </w:rPr>
              <w:t>$10.00M</w:t>
            </w:r>
          </w:p>
        </w:tc>
        <w:tc>
          <w:tcPr>
            <w:tcW w:type="dxa" w:w="2448"/>
            <w:vAlign w:val="top"/>
          </w:tcPr>
          <w:p>
            <w:r/>
            <w:r>
              <w:rPr>
                <w:rFonts w:ascii="Arial" w:hAnsi="Arial"/>
                <w:b w:val="0"/>
                <w:sz w:val="16"/>
              </w:rPr>
              <w:t>$10.00M</w:t>
            </w:r>
          </w:p>
        </w:tc>
        <w:tc>
          <w:tcPr>
            <w:tcW w:type="dxa" w:w="2016"/>
            <w:vAlign w:val="top"/>
          </w:tcPr>
          <w:p>
            <w:r/>
            <w:r>
              <w:rPr>
                <w:rFonts w:ascii="Arial" w:hAnsi="Arial"/>
                <w:b w:val="0"/>
                <w:sz w:val="16"/>
              </w:rPr>
              <w:t>$20.00M</w:t>
            </w:r>
          </w:p>
        </w:tc>
      </w:tr>
      <w:tr>
        <w:tc>
          <w:tcPr>
            <w:tcW w:type="dxa" w:w="1728"/>
            <w:vAlign w:val="top"/>
          </w:tcPr>
          <w:p>
            <w:r/>
            <w:r>
              <w:rPr>
                <w:rFonts w:ascii="Arial" w:hAnsi="Arial"/>
                <w:b w:val="0"/>
                <w:sz w:val="16"/>
              </w:rPr>
              <w:t>$1.0000000</w:t>
            </w:r>
          </w:p>
        </w:tc>
        <w:tc>
          <w:tcPr>
            <w:tcW w:type="dxa" w:w="1728"/>
            <w:vAlign w:val="top"/>
          </w:tcPr>
          <w:p>
            <w:r/>
            <w:r>
              <w:rPr>
                <w:rFonts w:ascii="Arial" w:hAnsi="Arial"/>
                <w:b w:val="0"/>
                <w:sz w:val="16"/>
              </w:rPr>
              <w:t>$1.00B</w:t>
            </w:r>
          </w:p>
        </w:tc>
        <w:tc>
          <w:tcPr>
            <w:tcW w:type="dxa" w:w="2016"/>
            <w:vAlign w:val="top"/>
          </w:tcPr>
          <w:p>
            <w:r/>
            <w:r>
              <w:rPr>
                <w:rFonts w:ascii="Arial" w:hAnsi="Arial"/>
                <w:b w:val="0"/>
                <w:sz w:val="16"/>
              </w:rPr>
              <w:t>$100.00M</w:t>
            </w:r>
          </w:p>
        </w:tc>
        <w:tc>
          <w:tcPr>
            <w:tcW w:type="dxa" w:w="2448"/>
            <w:vAlign w:val="top"/>
          </w:tcPr>
          <w:p>
            <w:r/>
            <w:r>
              <w:rPr>
                <w:rFonts w:ascii="Arial" w:hAnsi="Arial"/>
                <w:b w:val="0"/>
                <w:sz w:val="16"/>
              </w:rPr>
              <w:t>$100.00M</w:t>
            </w:r>
          </w:p>
        </w:tc>
        <w:tc>
          <w:tcPr>
            <w:tcW w:type="dxa" w:w="2016"/>
            <w:vAlign w:val="top"/>
          </w:tcPr>
          <w:p>
            <w:r/>
            <w:r>
              <w:rPr>
                <w:rFonts w:ascii="Arial" w:hAnsi="Arial"/>
                <w:b w:val="0"/>
                <w:sz w:val="16"/>
              </w:rPr>
              <w:t>$200.00M</w:t>
            </w:r>
          </w:p>
        </w:tc>
      </w:tr>
      <w:tr>
        <w:tc>
          <w:tcPr>
            <w:tcW w:type="dxa" w:w="1728"/>
            <w:vAlign w:val="top"/>
          </w:tcPr>
          <w:p>
            <w:r/>
            <w:r>
              <w:rPr>
                <w:rFonts w:ascii="Arial" w:hAnsi="Arial"/>
                <w:b w:val="0"/>
                <w:sz w:val="16"/>
              </w:rPr>
              <w:t>$5.0000000</w:t>
            </w:r>
          </w:p>
        </w:tc>
        <w:tc>
          <w:tcPr>
            <w:tcW w:type="dxa" w:w="1728"/>
            <w:vAlign w:val="top"/>
          </w:tcPr>
          <w:p>
            <w:r/>
            <w:r>
              <w:rPr>
                <w:rFonts w:ascii="Arial" w:hAnsi="Arial"/>
                <w:b w:val="0"/>
                <w:sz w:val="16"/>
              </w:rPr>
              <w:t>$5.00B</w:t>
            </w:r>
          </w:p>
        </w:tc>
        <w:tc>
          <w:tcPr>
            <w:tcW w:type="dxa" w:w="2016"/>
            <w:vAlign w:val="top"/>
          </w:tcPr>
          <w:p>
            <w:r/>
            <w:r>
              <w:rPr>
                <w:rFonts w:ascii="Arial" w:hAnsi="Arial"/>
                <w:b w:val="0"/>
                <w:sz w:val="16"/>
              </w:rPr>
              <w:t>$500.00M</w:t>
            </w:r>
          </w:p>
        </w:tc>
        <w:tc>
          <w:tcPr>
            <w:tcW w:type="dxa" w:w="2448"/>
            <w:vAlign w:val="top"/>
          </w:tcPr>
          <w:p>
            <w:r/>
            <w:r>
              <w:rPr>
                <w:rFonts w:ascii="Arial" w:hAnsi="Arial"/>
                <w:b w:val="0"/>
                <w:sz w:val="16"/>
              </w:rPr>
              <w:t>$500.00M</w:t>
            </w:r>
          </w:p>
        </w:tc>
        <w:tc>
          <w:tcPr>
            <w:tcW w:type="dxa" w:w="2016"/>
            <w:vAlign w:val="top"/>
          </w:tcPr>
          <w:p>
            <w:r/>
            <w:r>
              <w:rPr>
                <w:rFonts w:ascii="Arial" w:hAnsi="Arial"/>
                <w:b w:val="0"/>
                <w:sz w:val="16"/>
              </w:rPr>
              <w:t>$1.00B</w:t>
            </w:r>
          </w:p>
        </w:tc>
      </w:tr>
    </w:tbl>
    <w:p/>
    <w:p>
      <w:r>
        <w:rPr>
          <w:b w:val="0"/>
        </w:rPr>
        <w:t>Interpretation: the same 100M tokens become much more powerful as the token reprices. At low FDV, the constraint is paired USDC/ETH liquidity, not token count.</w:t>
      </w:r>
    </w:p>
    <w:p>
      <w:pPr>
        <w:pStyle w:val="Heading1"/>
      </w:pPr>
      <w:r>
        <w:rPr>
          <w:b w:val="0"/>
        </w:rPr>
        <w:t>5. Money-Maker Model</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11827"/>
            <w:vAlign w:val="top"/>
          </w:tcPr>
          <w:p>
            <w:r/>
            <w:r>
              <w:rPr>
                <w:rFonts w:ascii="Arial" w:hAnsi="Arial"/>
                <w:b/>
                <w:color w:val="FFFFFF"/>
                <w:sz w:val="16"/>
              </w:rPr>
              <w:t>Source</w:t>
            </w:r>
          </w:p>
        </w:tc>
        <w:tc>
          <w:tcPr>
            <w:tcW w:type="dxa" w:w="2592"/>
            <w:shd w:fill="111827"/>
            <w:vAlign w:val="top"/>
          </w:tcPr>
          <w:p>
            <w:r/>
            <w:r>
              <w:rPr>
                <w:rFonts w:ascii="Arial" w:hAnsi="Arial"/>
                <w:b/>
                <w:color w:val="FFFFFF"/>
                <w:sz w:val="16"/>
              </w:rPr>
              <w:t>Planning rate</w:t>
            </w:r>
          </w:p>
        </w:tc>
        <w:tc>
          <w:tcPr>
            <w:tcW w:type="dxa" w:w="6480"/>
            <w:shd w:fill="111827"/>
            <w:vAlign w:val="top"/>
          </w:tcPr>
          <w:p>
            <w:r/>
            <w:r>
              <w:rPr>
                <w:rFonts w:ascii="Arial" w:hAnsi="Arial"/>
                <w:b/>
                <w:color w:val="FFFFFF"/>
                <w:sz w:val="16"/>
              </w:rPr>
              <w:t>Primary use</w:t>
            </w:r>
          </w:p>
        </w:tc>
      </w:tr>
      <w:tr>
        <w:tc>
          <w:tcPr>
            <w:tcW w:type="dxa" w:w="2448"/>
            <w:vAlign w:val="top"/>
          </w:tcPr>
          <w:p>
            <w:r/>
            <w:r>
              <w:rPr>
                <w:rFonts w:ascii="Arial" w:hAnsi="Arial"/>
                <w:b w:val="0"/>
                <w:sz w:val="16"/>
              </w:rPr>
              <w:t>DEX LP fees</w:t>
            </w:r>
          </w:p>
        </w:tc>
        <w:tc>
          <w:tcPr>
            <w:tcW w:type="dxa" w:w="2592"/>
            <w:vAlign w:val="top"/>
          </w:tcPr>
          <w:p>
            <w:r/>
            <w:r>
              <w:rPr>
                <w:rFonts w:ascii="Arial" w:hAnsi="Arial"/>
                <w:b w:val="0"/>
                <w:sz w:val="16"/>
              </w:rPr>
              <w:t>0.30% of routed pool volume</w:t>
            </w:r>
          </w:p>
        </w:tc>
        <w:tc>
          <w:tcPr>
            <w:tcW w:type="dxa" w:w="6480"/>
            <w:vAlign w:val="top"/>
          </w:tcPr>
          <w:p>
            <w:r/>
            <w:r>
              <w:rPr>
                <w:rFonts w:ascii="Arial" w:hAnsi="Arial"/>
                <w:b w:val="0"/>
                <w:sz w:val="16"/>
              </w:rPr>
              <w:t>LP/staker yield and vault economics</w:t>
            </w:r>
          </w:p>
        </w:tc>
      </w:tr>
      <w:tr>
        <w:tc>
          <w:tcPr>
            <w:tcW w:type="dxa" w:w="2448"/>
            <w:vAlign w:val="top"/>
          </w:tcPr>
          <w:p>
            <w:r/>
            <w:r>
              <w:rPr>
                <w:rFonts w:ascii="Arial" w:hAnsi="Arial"/>
                <w:b w:val="0"/>
                <w:sz w:val="16"/>
              </w:rPr>
              <w:t>SW4P protocol fee</w:t>
            </w:r>
          </w:p>
        </w:tc>
        <w:tc>
          <w:tcPr>
            <w:tcW w:type="dxa" w:w="2592"/>
            <w:vAlign w:val="top"/>
          </w:tcPr>
          <w:p>
            <w:r/>
            <w:r>
              <w:rPr>
                <w:rFonts w:ascii="Arial" w:hAnsi="Arial"/>
                <w:b w:val="0"/>
                <w:sz w:val="16"/>
              </w:rPr>
              <w:t>50 bps of routed SW4P volume</w:t>
            </w:r>
          </w:p>
        </w:tc>
        <w:tc>
          <w:tcPr>
            <w:tcW w:type="dxa" w:w="6480"/>
            <w:vAlign w:val="top"/>
          </w:tcPr>
          <w:p>
            <w:r/>
            <w:r>
              <w:rPr>
                <w:rFonts w:ascii="Arial" w:hAnsi="Arial"/>
                <w:b w:val="0"/>
                <w:sz w:val="16"/>
              </w:rPr>
              <w:t>ARP, staker share, platform allocation, buybacks/reserves/treasury</w:t>
            </w:r>
          </w:p>
        </w:tc>
      </w:tr>
      <w:tr>
        <w:tc>
          <w:tcPr>
            <w:tcW w:type="dxa" w:w="2448"/>
            <w:vAlign w:val="top"/>
          </w:tcPr>
          <w:p>
            <w:r/>
            <w:r>
              <w:rPr>
                <w:rFonts w:ascii="Arial" w:hAnsi="Arial"/>
                <w:b w:val="0"/>
                <w:sz w:val="16"/>
              </w:rPr>
              <w:t>Pump creator fees</w:t>
            </w:r>
          </w:p>
        </w:tc>
        <w:tc>
          <w:tcPr>
            <w:tcW w:type="dxa" w:w="2592"/>
            <w:vAlign w:val="top"/>
          </w:tcPr>
          <w:p>
            <w:r/>
            <w:r>
              <w:rPr>
                <w:rFonts w:ascii="Arial" w:hAnsi="Arial"/>
                <w:b w:val="0"/>
                <w:sz w:val="16"/>
              </w:rPr>
              <w:t>Conservative 0.30% of Pump/Solana 555 volume</w:t>
            </w:r>
          </w:p>
        </w:tc>
        <w:tc>
          <w:tcPr>
            <w:tcW w:type="dxa" w:w="6480"/>
            <w:vAlign w:val="top"/>
          </w:tcPr>
          <w:p>
            <w:r/>
            <w:r>
              <w:rPr>
                <w:rFonts w:ascii="Arial" w:hAnsi="Arial"/>
                <w:b w:val="0"/>
                <w:sz w:val="16"/>
              </w:rPr>
              <w:t>POL, buyback/burn, LP incentives, MM fund, reserve</w:t>
            </w:r>
          </w:p>
        </w:tc>
      </w:tr>
      <w:tr>
        <w:tc>
          <w:tcPr>
            <w:tcW w:type="dxa" w:w="2448"/>
            <w:vAlign w:val="top"/>
          </w:tcPr>
          <w:p>
            <w:r/>
            <w:r>
              <w:rPr>
                <w:rFonts w:ascii="Arial" w:hAnsi="Arial"/>
                <w:b w:val="0"/>
                <w:sz w:val="16"/>
              </w:rPr>
              <w:t>Product revenue bags</w:t>
            </w:r>
          </w:p>
        </w:tc>
        <w:tc>
          <w:tcPr>
            <w:tcW w:type="dxa" w:w="2592"/>
            <w:vAlign w:val="top"/>
          </w:tcPr>
          <w:p>
            <w:r/>
            <w:r>
              <w:rPr>
                <w:rFonts w:ascii="Arial" w:hAnsi="Arial"/>
                <w:b w:val="0"/>
                <w:sz w:val="16"/>
              </w:rPr>
              <w:t>Variable by product</w:t>
            </w:r>
          </w:p>
        </w:tc>
        <w:tc>
          <w:tcPr>
            <w:tcW w:type="dxa" w:w="6480"/>
            <w:vAlign w:val="top"/>
          </w:tcPr>
          <w:p>
            <w:r/>
            <w:r>
              <w:rPr>
                <w:rFonts w:ascii="Arial" w:hAnsi="Arial"/>
                <w:b w:val="0"/>
                <w:sz w:val="16"/>
              </w:rPr>
              <w:t>Paired liquidity, buybacks, reserves, MM readiness</w:t>
            </w:r>
          </w:p>
        </w:tc>
      </w:tr>
    </w:tbl>
    <w:p/>
    <w:p>
      <w:pPr>
        <w:pStyle w:val="Heading2"/>
      </w:pPr>
      <w:r>
        <w:rPr>
          <w:b w:val="0"/>
        </w:rPr>
        <w:t>Pump Fee Accelerator Allocation</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584"/>
            <w:shd w:fill="111827"/>
            <w:vAlign w:val="top"/>
          </w:tcPr>
          <w:p>
            <w:r/>
            <w:r>
              <w:rPr>
                <w:rFonts w:ascii="Arial" w:hAnsi="Arial"/>
                <w:b/>
                <w:color w:val="FFFFFF"/>
                <w:sz w:val="16"/>
              </w:rPr>
              <w:t>Pump daily volume</w:t>
            </w:r>
          </w:p>
        </w:tc>
        <w:tc>
          <w:tcPr>
            <w:tcW w:type="dxa" w:w="1584"/>
            <w:shd w:fill="111827"/>
            <w:vAlign w:val="top"/>
          </w:tcPr>
          <w:p>
            <w:r/>
            <w:r>
              <w:rPr>
                <w:rFonts w:ascii="Arial" w:hAnsi="Arial"/>
                <w:b/>
                <w:color w:val="FFFFFF"/>
                <w:sz w:val="16"/>
              </w:rPr>
              <w:t>Creator fee/day</w:t>
            </w:r>
          </w:p>
        </w:tc>
        <w:tc>
          <w:tcPr>
            <w:tcW w:type="dxa" w:w="1440"/>
            <w:shd w:fill="111827"/>
            <w:vAlign w:val="top"/>
          </w:tcPr>
          <w:p>
            <w:r/>
            <w:r>
              <w:rPr>
                <w:rFonts w:ascii="Arial" w:hAnsi="Arial"/>
                <w:b/>
                <w:color w:val="FFFFFF"/>
                <w:sz w:val="16"/>
              </w:rPr>
              <w:t>POL</w:t>
            </w:r>
          </w:p>
        </w:tc>
        <w:tc>
          <w:tcPr>
            <w:tcW w:type="dxa" w:w="1584"/>
            <w:shd w:fill="111827"/>
            <w:vAlign w:val="top"/>
          </w:tcPr>
          <w:p>
            <w:r/>
            <w:r>
              <w:rPr>
                <w:rFonts w:ascii="Arial" w:hAnsi="Arial"/>
                <w:b/>
                <w:color w:val="FFFFFF"/>
                <w:sz w:val="16"/>
              </w:rPr>
              <w:t>Buyback/burn</w:t>
            </w:r>
          </w:p>
        </w:tc>
        <w:tc>
          <w:tcPr>
            <w:tcW w:type="dxa" w:w="1440"/>
            <w:shd w:fill="111827"/>
            <w:vAlign w:val="top"/>
          </w:tcPr>
          <w:p>
            <w:r/>
            <w:r>
              <w:rPr>
                <w:rFonts w:ascii="Arial" w:hAnsi="Arial"/>
                <w:b/>
                <w:color w:val="FFFFFF"/>
                <w:sz w:val="16"/>
              </w:rPr>
              <w:t>LP incentives</w:t>
            </w:r>
          </w:p>
        </w:tc>
        <w:tc>
          <w:tcPr>
            <w:tcW w:type="dxa" w:w="1440"/>
            <w:shd w:fill="111827"/>
            <w:vAlign w:val="top"/>
          </w:tcPr>
          <w:p>
            <w:r/>
            <w:r>
              <w:rPr>
                <w:rFonts w:ascii="Arial" w:hAnsi="Arial"/>
                <w:b/>
                <w:color w:val="FFFFFF"/>
                <w:sz w:val="16"/>
              </w:rPr>
              <w:t>MM fund</w:t>
            </w:r>
          </w:p>
        </w:tc>
        <w:tc>
          <w:tcPr>
            <w:tcW w:type="dxa" w:w="1440"/>
            <w:shd w:fill="111827"/>
            <w:vAlign w:val="top"/>
          </w:tcPr>
          <w:p>
            <w:r/>
            <w:r>
              <w:rPr>
                <w:rFonts w:ascii="Arial" w:hAnsi="Arial"/>
                <w:b/>
                <w:color w:val="FFFFFF"/>
                <w:sz w:val="16"/>
              </w:rPr>
              <w:t>Ops/reserve</w:t>
            </w:r>
          </w:p>
        </w:tc>
      </w:tr>
      <w:tr>
        <w:tc>
          <w:tcPr>
            <w:tcW w:type="dxa" w:w="1584"/>
            <w:vAlign w:val="top"/>
          </w:tcPr>
          <w:p>
            <w:r/>
            <w:r>
              <w:rPr>
                <w:rFonts w:ascii="Arial" w:hAnsi="Arial"/>
                <w:b w:val="0"/>
                <w:sz w:val="16"/>
              </w:rPr>
              <w:t>$10.0K</w:t>
            </w:r>
          </w:p>
        </w:tc>
        <w:tc>
          <w:tcPr>
            <w:tcW w:type="dxa" w:w="1584"/>
            <w:vAlign w:val="top"/>
          </w:tcPr>
          <w:p>
            <w:r/>
            <w:r>
              <w:rPr>
                <w:rFonts w:ascii="Arial" w:hAnsi="Arial"/>
                <w:b w:val="0"/>
                <w:sz w:val="16"/>
              </w:rPr>
              <w:t>$30.00</w:t>
            </w:r>
          </w:p>
        </w:tc>
        <w:tc>
          <w:tcPr>
            <w:tcW w:type="dxa" w:w="1440"/>
            <w:vAlign w:val="top"/>
          </w:tcPr>
          <w:p>
            <w:r/>
            <w:r>
              <w:rPr>
                <w:rFonts w:ascii="Arial" w:hAnsi="Arial"/>
                <w:b w:val="0"/>
                <w:sz w:val="16"/>
              </w:rPr>
              <w:t>$13.50</w:t>
            </w:r>
          </w:p>
        </w:tc>
        <w:tc>
          <w:tcPr>
            <w:tcW w:type="dxa" w:w="1584"/>
            <w:vAlign w:val="top"/>
          </w:tcPr>
          <w:p>
            <w:r/>
            <w:r>
              <w:rPr>
                <w:rFonts w:ascii="Arial" w:hAnsi="Arial"/>
                <w:b w:val="0"/>
                <w:sz w:val="16"/>
              </w:rPr>
              <w:t>$6.00</w:t>
            </w:r>
          </w:p>
        </w:tc>
        <w:tc>
          <w:tcPr>
            <w:tcW w:type="dxa" w:w="1440"/>
            <w:vAlign w:val="top"/>
          </w:tcPr>
          <w:p>
            <w:r/>
            <w:r>
              <w:rPr>
                <w:rFonts w:ascii="Arial" w:hAnsi="Arial"/>
                <w:b w:val="0"/>
                <w:sz w:val="16"/>
              </w:rPr>
              <w:t>$4.50</w:t>
            </w:r>
          </w:p>
        </w:tc>
        <w:tc>
          <w:tcPr>
            <w:tcW w:type="dxa" w:w="1440"/>
            <w:vAlign w:val="top"/>
          </w:tcPr>
          <w:p>
            <w:r/>
            <w:r>
              <w:rPr>
                <w:rFonts w:ascii="Arial" w:hAnsi="Arial"/>
                <w:b w:val="0"/>
                <w:sz w:val="16"/>
              </w:rPr>
              <w:t>$3.00</w:t>
            </w:r>
          </w:p>
        </w:tc>
        <w:tc>
          <w:tcPr>
            <w:tcW w:type="dxa" w:w="1440"/>
            <w:vAlign w:val="top"/>
          </w:tcPr>
          <w:p>
            <w:r/>
            <w:r>
              <w:rPr>
                <w:rFonts w:ascii="Arial" w:hAnsi="Arial"/>
                <w:b w:val="0"/>
                <w:sz w:val="16"/>
              </w:rPr>
              <w:t>$3.00</w:t>
            </w:r>
          </w:p>
        </w:tc>
      </w:tr>
      <w:tr>
        <w:tc>
          <w:tcPr>
            <w:tcW w:type="dxa" w:w="1584"/>
            <w:vAlign w:val="top"/>
          </w:tcPr>
          <w:p>
            <w:r/>
            <w:r>
              <w:rPr>
                <w:rFonts w:ascii="Arial" w:hAnsi="Arial"/>
                <w:b w:val="0"/>
                <w:sz w:val="16"/>
              </w:rPr>
              <w:t>$100.0K</w:t>
            </w:r>
          </w:p>
        </w:tc>
        <w:tc>
          <w:tcPr>
            <w:tcW w:type="dxa" w:w="1584"/>
            <w:vAlign w:val="top"/>
          </w:tcPr>
          <w:p>
            <w:r/>
            <w:r>
              <w:rPr>
                <w:rFonts w:ascii="Arial" w:hAnsi="Arial"/>
                <w:b w:val="0"/>
                <w:sz w:val="16"/>
              </w:rPr>
              <w:t>$300.00</w:t>
            </w:r>
          </w:p>
        </w:tc>
        <w:tc>
          <w:tcPr>
            <w:tcW w:type="dxa" w:w="1440"/>
            <w:vAlign w:val="top"/>
          </w:tcPr>
          <w:p>
            <w:r/>
            <w:r>
              <w:rPr>
                <w:rFonts w:ascii="Arial" w:hAnsi="Arial"/>
                <w:b w:val="0"/>
                <w:sz w:val="16"/>
              </w:rPr>
              <w:t>$135.00</w:t>
            </w:r>
          </w:p>
        </w:tc>
        <w:tc>
          <w:tcPr>
            <w:tcW w:type="dxa" w:w="1584"/>
            <w:vAlign w:val="top"/>
          </w:tcPr>
          <w:p>
            <w:r/>
            <w:r>
              <w:rPr>
                <w:rFonts w:ascii="Arial" w:hAnsi="Arial"/>
                <w:b w:val="0"/>
                <w:sz w:val="16"/>
              </w:rPr>
              <w:t>$60.00</w:t>
            </w:r>
          </w:p>
        </w:tc>
        <w:tc>
          <w:tcPr>
            <w:tcW w:type="dxa" w:w="1440"/>
            <w:vAlign w:val="top"/>
          </w:tcPr>
          <w:p>
            <w:r/>
            <w:r>
              <w:rPr>
                <w:rFonts w:ascii="Arial" w:hAnsi="Arial"/>
                <w:b w:val="0"/>
                <w:sz w:val="16"/>
              </w:rPr>
              <w:t>$45.00</w:t>
            </w:r>
          </w:p>
        </w:tc>
        <w:tc>
          <w:tcPr>
            <w:tcW w:type="dxa" w:w="1440"/>
            <w:vAlign w:val="top"/>
          </w:tcPr>
          <w:p>
            <w:r/>
            <w:r>
              <w:rPr>
                <w:rFonts w:ascii="Arial" w:hAnsi="Arial"/>
                <w:b w:val="0"/>
                <w:sz w:val="16"/>
              </w:rPr>
              <w:t>$30.00</w:t>
            </w:r>
          </w:p>
        </w:tc>
        <w:tc>
          <w:tcPr>
            <w:tcW w:type="dxa" w:w="1440"/>
            <w:vAlign w:val="top"/>
          </w:tcPr>
          <w:p>
            <w:r/>
            <w:r>
              <w:rPr>
                <w:rFonts w:ascii="Arial" w:hAnsi="Arial"/>
                <w:b w:val="0"/>
                <w:sz w:val="16"/>
              </w:rPr>
              <w:t>$30.00</w:t>
            </w:r>
          </w:p>
        </w:tc>
      </w:tr>
      <w:tr>
        <w:tc>
          <w:tcPr>
            <w:tcW w:type="dxa" w:w="1584"/>
            <w:vAlign w:val="top"/>
          </w:tcPr>
          <w:p>
            <w:r/>
            <w:r>
              <w:rPr>
                <w:rFonts w:ascii="Arial" w:hAnsi="Arial"/>
                <w:b w:val="0"/>
                <w:sz w:val="16"/>
              </w:rPr>
              <w:t>$1.00M</w:t>
            </w:r>
          </w:p>
        </w:tc>
        <w:tc>
          <w:tcPr>
            <w:tcW w:type="dxa" w:w="1584"/>
            <w:vAlign w:val="top"/>
          </w:tcPr>
          <w:p>
            <w:r/>
            <w:r>
              <w:rPr>
                <w:rFonts w:ascii="Arial" w:hAnsi="Arial"/>
                <w:b w:val="0"/>
                <w:sz w:val="16"/>
              </w:rPr>
              <w:t>$3.0K</w:t>
            </w:r>
          </w:p>
        </w:tc>
        <w:tc>
          <w:tcPr>
            <w:tcW w:type="dxa" w:w="1440"/>
            <w:vAlign w:val="top"/>
          </w:tcPr>
          <w:p>
            <w:r/>
            <w:r>
              <w:rPr>
                <w:rFonts w:ascii="Arial" w:hAnsi="Arial"/>
                <w:b w:val="0"/>
                <w:sz w:val="16"/>
              </w:rPr>
              <w:t>$1.4K</w:t>
            </w:r>
          </w:p>
        </w:tc>
        <w:tc>
          <w:tcPr>
            <w:tcW w:type="dxa" w:w="1584"/>
            <w:vAlign w:val="top"/>
          </w:tcPr>
          <w:p>
            <w:r/>
            <w:r>
              <w:rPr>
                <w:rFonts w:ascii="Arial" w:hAnsi="Arial"/>
                <w:b w:val="0"/>
                <w:sz w:val="16"/>
              </w:rPr>
              <w:t>$600.00</w:t>
            </w:r>
          </w:p>
        </w:tc>
        <w:tc>
          <w:tcPr>
            <w:tcW w:type="dxa" w:w="1440"/>
            <w:vAlign w:val="top"/>
          </w:tcPr>
          <w:p>
            <w:r/>
            <w:r>
              <w:rPr>
                <w:rFonts w:ascii="Arial" w:hAnsi="Arial"/>
                <w:b w:val="0"/>
                <w:sz w:val="16"/>
              </w:rPr>
              <w:t>$450.00</w:t>
            </w:r>
          </w:p>
        </w:tc>
        <w:tc>
          <w:tcPr>
            <w:tcW w:type="dxa" w:w="1440"/>
            <w:vAlign w:val="top"/>
          </w:tcPr>
          <w:p>
            <w:r/>
            <w:r>
              <w:rPr>
                <w:rFonts w:ascii="Arial" w:hAnsi="Arial"/>
                <w:b w:val="0"/>
                <w:sz w:val="16"/>
              </w:rPr>
              <w:t>$300.00</w:t>
            </w:r>
          </w:p>
        </w:tc>
        <w:tc>
          <w:tcPr>
            <w:tcW w:type="dxa" w:w="1440"/>
            <w:vAlign w:val="top"/>
          </w:tcPr>
          <w:p>
            <w:r/>
            <w:r>
              <w:rPr>
                <w:rFonts w:ascii="Arial" w:hAnsi="Arial"/>
                <w:b w:val="0"/>
                <w:sz w:val="16"/>
              </w:rPr>
              <w:t>$300.00</w:t>
            </w:r>
          </w:p>
        </w:tc>
      </w:tr>
      <w:tr>
        <w:tc>
          <w:tcPr>
            <w:tcW w:type="dxa" w:w="1584"/>
            <w:vAlign w:val="top"/>
          </w:tcPr>
          <w:p>
            <w:r/>
            <w:r>
              <w:rPr>
                <w:rFonts w:ascii="Arial" w:hAnsi="Arial"/>
                <w:b w:val="0"/>
                <w:sz w:val="16"/>
              </w:rPr>
              <w:t>$10.00M</w:t>
            </w:r>
          </w:p>
        </w:tc>
        <w:tc>
          <w:tcPr>
            <w:tcW w:type="dxa" w:w="1584"/>
            <w:vAlign w:val="top"/>
          </w:tcPr>
          <w:p>
            <w:r/>
            <w:r>
              <w:rPr>
                <w:rFonts w:ascii="Arial" w:hAnsi="Arial"/>
                <w:b w:val="0"/>
                <w:sz w:val="16"/>
              </w:rPr>
              <w:t>$30.0K</w:t>
            </w:r>
          </w:p>
        </w:tc>
        <w:tc>
          <w:tcPr>
            <w:tcW w:type="dxa" w:w="1440"/>
            <w:vAlign w:val="top"/>
          </w:tcPr>
          <w:p>
            <w:r/>
            <w:r>
              <w:rPr>
                <w:rFonts w:ascii="Arial" w:hAnsi="Arial"/>
                <w:b w:val="0"/>
                <w:sz w:val="16"/>
              </w:rPr>
              <w:t>$13.5K</w:t>
            </w:r>
          </w:p>
        </w:tc>
        <w:tc>
          <w:tcPr>
            <w:tcW w:type="dxa" w:w="1584"/>
            <w:vAlign w:val="top"/>
          </w:tcPr>
          <w:p>
            <w:r/>
            <w:r>
              <w:rPr>
                <w:rFonts w:ascii="Arial" w:hAnsi="Arial"/>
                <w:b w:val="0"/>
                <w:sz w:val="16"/>
              </w:rPr>
              <w:t>$6.0K</w:t>
            </w:r>
          </w:p>
        </w:tc>
        <w:tc>
          <w:tcPr>
            <w:tcW w:type="dxa" w:w="1440"/>
            <w:vAlign w:val="top"/>
          </w:tcPr>
          <w:p>
            <w:r/>
            <w:r>
              <w:rPr>
                <w:rFonts w:ascii="Arial" w:hAnsi="Arial"/>
                <w:b w:val="0"/>
                <w:sz w:val="16"/>
              </w:rPr>
              <w:t>$4.5K</w:t>
            </w:r>
          </w:p>
        </w:tc>
        <w:tc>
          <w:tcPr>
            <w:tcW w:type="dxa" w:w="1440"/>
            <w:vAlign w:val="top"/>
          </w:tcPr>
          <w:p>
            <w:r/>
            <w:r>
              <w:rPr>
                <w:rFonts w:ascii="Arial" w:hAnsi="Arial"/>
                <w:b w:val="0"/>
                <w:sz w:val="16"/>
              </w:rPr>
              <w:t>$3.0K</w:t>
            </w:r>
          </w:p>
        </w:tc>
        <w:tc>
          <w:tcPr>
            <w:tcW w:type="dxa" w:w="1440"/>
            <w:vAlign w:val="top"/>
          </w:tcPr>
          <w:p>
            <w:r/>
            <w:r>
              <w:rPr>
                <w:rFonts w:ascii="Arial" w:hAnsi="Arial"/>
                <w:b w:val="0"/>
                <w:sz w:val="16"/>
              </w:rPr>
              <w:t>$3.0K</w:t>
            </w:r>
          </w:p>
        </w:tc>
      </w:tr>
    </w:tbl>
    <w:p/>
    <w:p>
      <w:pPr>
        <w:pStyle w:val="Heading1"/>
      </w:pPr>
      <w:r>
        <w:rPr>
          <w:b w:val="0"/>
        </w:rPr>
        <w:t>6. Real Yield Model</w:t>
      </w:r>
    </w:p>
    <w:p>
      <w:r>
        <w:rPr>
          <w:b w:val="0"/>
        </w:rPr>
        <w:t>Assumption: DEX 0.30% fee with 80% to LP/stakers plus SW4P 0.50% fee with 45% to pool stakeholders. Combined LP/staker capture is 46.5 bps of routed volume.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584"/>
            <w:shd w:fill="111827"/>
            <w:vAlign w:val="top"/>
          </w:tcPr>
          <w:p>
            <w:r/>
            <w:r>
              <w:rPr>
                <w:rFonts w:ascii="Arial" w:hAnsi="Arial"/>
                <w:b/>
                <w:color w:val="FFFFFF"/>
                <w:sz w:val="16"/>
              </w:rPr>
              <w:t>Pool TVL</w:t>
            </w:r>
          </w:p>
        </w:tc>
        <w:tc>
          <w:tcPr>
            <w:tcW w:type="dxa" w:w="2016"/>
            <w:shd w:fill="111827"/>
            <w:vAlign w:val="top"/>
          </w:tcPr>
          <w:p>
            <w:r/>
            <w:r>
              <w:rPr>
                <w:rFonts w:ascii="Arial" w:hAnsi="Arial"/>
                <w:b/>
                <w:color w:val="FFFFFF"/>
                <w:sz w:val="16"/>
              </w:rPr>
              <w:t>Daily routed volume</w:t>
            </w:r>
          </w:p>
        </w:tc>
        <w:tc>
          <w:tcPr>
            <w:tcW w:type="dxa" w:w="1872"/>
            <w:shd w:fill="111827"/>
            <w:vAlign w:val="top"/>
          </w:tcPr>
          <w:p>
            <w:r/>
            <w:r>
              <w:rPr>
                <w:rFonts w:ascii="Arial" w:hAnsi="Arial"/>
                <w:b/>
                <w:color w:val="FFFFFF"/>
                <w:sz w:val="16"/>
              </w:rPr>
              <w:t>Rewards/day</w:t>
            </w:r>
          </w:p>
        </w:tc>
        <w:tc>
          <w:tcPr>
            <w:tcW w:type="dxa" w:w="1872"/>
            <w:shd w:fill="111827"/>
            <w:vAlign w:val="top"/>
          </w:tcPr>
          <w:p>
            <w:r/>
            <w:r>
              <w:rPr>
                <w:rFonts w:ascii="Arial" w:hAnsi="Arial"/>
                <w:b/>
                <w:color w:val="FFFFFF"/>
                <w:sz w:val="16"/>
              </w:rPr>
              <w:t>Rewards/year</w:t>
            </w:r>
          </w:p>
        </w:tc>
        <w:tc>
          <w:tcPr>
            <w:tcW w:type="dxa" w:w="1440"/>
            <w:shd w:fill="111827"/>
            <w:vAlign w:val="top"/>
          </w:tcPr>
          <w:p>
            <w:r/>
            <w:r>
              <w:rPr>
                <w:rFonts w:ascii="Arial" w:hAnsi="Arial"/>
                <w:b/>
                <w:color w:val="FFFFFF"/>
                <w:sz w:val="16"/>
              </w:rPr>
              <w:t>Fee APR</w:t>
            </w:r>
          </w:p>
        </w:tc>
      </w:tr>
      <w:tr>
        <w:tc>
          <w:tcPr>
            <w:tcW w:type="dxa" w:w="1584"/>
            <w:vAlign w:val="top"/>
          </w:tcPr>
          <w:p>
            <w:r/>
            <w:r>
              <w:rPr>
                <w:rFonts w:ascii="Arial" w:hAnsi="Arial"/>
                <w:b w:val="0"/>
                <w:sz w:val="16"/>
              </w:rPr>
              <w:t>$50.0K</w:t>
            </w:r>
          </w:p>
        </w:tc>
        <w:tc>
          <w:tcPr>
            <w:tcW w:type="dxa" w:w="2016"/>
            <w:vAlign w:val="top"/>
          </w:tcPr>
          <w:p>
            <w:r/>
            <w:r>
              <w:rPr>
                <w:rFonts w:ascii="Arial" w:hAnsi="Arial"/>
                <w:b w:val="0"/>
                <w:sz w:val="16"/>
              </w:rPr>
              <w:t>$10.0K</w:t>
            </w:r>
          </w:p>
        </w:tc>
        <w:tc>
          <w:tcPr>
            <w:tcW w:type="dxa" w:w="1872"/>
            <w:vAlign w:val="top"/>
          </w:tcPr>
          <w:p>
            <w:r/>
            <w:r>
              <w:rPr>
                <w:rFonts w:ascii="Arial" w:hAnsi="Arial"/>
                <w:b w:val="0"/>
                <w:sz w:val="16"/>
              </w:rPr>
              <w:t>$46.50</w:t>
            </w:r>
          </w:p>
        </w:tc>
        <w:tc>
          <w:tcPr>
            <w:tcW w:type="dxa" w:w="1872"/>
            <w:vAlign w:val="top"/>
          </w:tcPr>
          <w:p>
            <w:r/>
            <w:r>
              <w:rPr>
                <w:rFonts w:ascii="Arial" w:hAnsi="Arial"/>
                <w:b w:val="0"/>
                <w:sz w:val="16"/>
              </w:rPr>
              <w:t>$17.0K</w:t>
            </w:r>
          </w:p>
        </w:tc>
        <w:tc>
          <w:tcPr>
            <w:tcW w:type="dxa" w:w="1440"/>
            <w:vAlign w:val="top"/>
          </w:tcPr>
          <w:p>
            <w:r/>
            <w:r>
              <w:rPr>
                <w:rFonts w:ascii="Arial" w:hAnsi="Arial"/>
                <w:b w:val="0"/>
                <w:sz w:val="16"/>
              </w:rPr>
              <w:t>33.9%</w:t>
            </w:r>
          </w:p>
        </w:tc>
      </w:tr>
      <w:tr>
        <w:tc>
          <w:tcPr>
            <w:tcW w:type="dxa" w:w="1584"/>
            <w:vAlign w:val="top"/>
          </w:tcPr>
          <w:p>
            <w:r/>
            <w:r>
              <w:rPr>
                <w:rFonts w:ascii="Arial" w:hAnsi="Arial"/>
                <w:b w:val="0"/>
                <w:sz w:val="16"/>
              </w:rPr>
              <w:t>$50.0K</w:t>
            </w:r>
          </w:p>
        </w:tc>
        <w:tc>
          <w:tcPr>
            <w:tcW w:type="dxa" w:w="2016"/>
            <w:vAlign w:val="top"/>
          </w:tcPr>
          <w:p>
            <w:r/>
            <w:r>
              <w:rPr>
                <w:rFonts w:ascii="Arial" w:hAnsi="Arial"/>
                <w:b w:val="0"/>
                <w:sz w:val="16"/>
              </w:rPr>
              <w:t>$25.0K</w:t>
            </w:r>
          </w:p>
        </w:tc>
        <w:tc>
          <w:tcPr>
            <w:tcW w:type="dxa" w:w="1872"/>
            <w:vAlign w:val="top"/>
          </w:tcPr>
          <w:p>
            <w:r/>
            <w:r>
              <w:rPr>
                <w:rFonts w:ascii="Arial" w:hAnsi="Arial"/>
                <w:b w:val="0"/>
                <w:sz w:val="16"/>
              </w:rPr>
              <w:t>$116.25</w:t>
            </w:r>
          </w:p>
        </w:tc>
        <w:tc>
          <w:tcPr>
            <w:tcW w:type="dxa" w:w="1872"/>
            <w:vAlign w:val="top"/>
          </w:tcPr>
          <w:p>
            <w:r/>
            <w:r>
              <w:rPr>
                <w:rFonts w:ascii="Arial" w:hAnsi="Arial"/>
                <w:b w:val="0"/>
                <w:sz w:val="16"/>
              </w:rPr>
              <w:t>$42.4K</w:t>
            </w:r>
          </w:p>
        </w:tc>
        <w:tc>
          <w:tcPr>
            <w:tcW w:type="dxa" w:w="1440"/>
            <w:vAlign w:val="top"/>
          </w:tcPr>
          <w:p>
            <w:r/>
            <w:r>
              <w:rPr>
                <w:rFonts w:ascii="Arial" w:hAnsi="Arial"/>
                <w:b w:val="0"/>
                <w:sz w:val="16"/>
              </w:rPr>
              <w:t>84.9%</w:t>
            </w:r>
          </w:p>
        </w:tc>
      </w:tr>
      <w:tr>
        <w:tc>
          <w:tcPr>
            <w:tcW w:type="dxa" w:w="1584"/>
            <w:vAlign w:val="top"/>
          </w:tcPr>
          <w:p>
            <w:r/>
            <w:r>
              <w:rPr>
                <w:rFonts w:ascii="Arial" w:hAnsi="Arial"/>
                <w:b w:val="0"/>
                <w:sz w:val="16"/>
              </w:rPr>
              <w:t>$50.0K</w:t>
            </w:r>
          </w:p>
        </w:tc>
        <w:tc>
          <w:tcPr>
            <w:tcW w:type="dxa" w:w="2016"/>
            <w:vAlign w:val="top"/>
          </w:tcPr>
          <w:p>
            <w:r/>
            <w:r>
              <w:rPr>
                <w:rFonts w:ascii="Arial" w:hAnsi="Arial"/>
                <w:b w:val="0"/>
                <w:sz w:val="16"/>
              </w:rPr>
              <w:t>$100.0K</w:t>
            </w:r>
          </w:p>
        </w:tc>
        <w:tc>
          <w:tcPr>
            <w:tcW w:type="dxa" w:w="1872"/>
            <w:vAlign w:val="top"/>
          </w:tcPr>
          <w:p>
            <w:r/>
            <w:r>
              <w:rPr>
                <w:rFonts w:ascii="Arial" w:hAnsi="Arial"/>
                <w:b w:val="0"/>
                <w:sz w:val="16"/>
              </w:rPr>
              <w:t>$465.00</w:t>
            </w:r>
          </w:p>
        </w:tc>
        <w:tc>
          <w:tcPr>
            <w:tcW w:type="dxa" w:w="1872"/>
            <w:vAlign w:val="top"/>
          </w:tcPr>
          <w:p>
            <w:r/>
            <w:r>
              <w:rPr>
                <w:rFonts w:ascii="Arial" w:hAnsi="Arial"/>
                <w:b w:val="0"/>
                <w:sz w:val="16"/>
              </w:rPr>
              <w:t>$169.7K</w:t>
            </w:r>
          </w:p>
        </w:tc>
        <w:tc>
          <w:tcPr>
            <w:tcW w:type="dxa" w:w="1440"/>
            <w:vAlign w:val="top"/>
          </w:tcPr>
          <w:p>
            <w:r/>
            <w:r>
              <w:rPr>
                <w:rFonts w:ascii="Arial" w:hAnsi="Arial"/>
                <w:b w:val="0"/>
                <w:sz w:val="16"/>
              </w:rPr>
              <w:t>339.4%</w:t>
            </w:r>
          </w:p>
        </w:tc>
      </w:tr>
      <w:tr>
        <w:tc>
          <w:tcPr>
            <w:tcW w:type="dxa" w:w="1584"/>
            <w:vAlign w:val="top"/>
          </w:tcPr>
          <w:p>
            <w:r/>
            <w:r>
              <w:rPr>
                <w:rFonts w:ascii="Arial" w:hAnsi="Arial"/>
                <w:b w:val="0"/>
                <w:sz w:val="16"/>
              </w:rPr>
              <w:t>$250.0K</w:t>
            </w:r>
          </w:p>
        </w:tc>
        <w:tc>
          <w:tcPr>
            <w:tcW w:type="dxa" w:w="2016"/>
            <w:vAlign w:val="top"/>
          </w:tcPr>
          <w:p>
            <w:r/>
            <w:r>
              <w:rPr>
                <w:rFonts w:ascii="Arial" w:hAnsi="Arial"/>
                <w:b w:val="0"/>
                <w:sz w:val="16"/>
              </w:rPr>
              <w:t>$10.0K</w:t>
            </w:r>
          </w:p>
        </w:tc>
        <w:tc>
          <w:tcPr>
            <w:tcW w:type="dxa" w:w="1872"/>
            <w:vAlign w:val="top"/>
          </w:tcPr>
          <w:p>
            <w:r/>
            <w:r>
              <w:rPr>
                <w:rFonts w:ascii="Arial" w:hAnsi="Arial"/>
                <w:b w:val="0"/>
                <w:sz w:val="16"/>
              </w:rPr>
              <w:t>$46.50</w:t>
            </w:r>
          </w:p>
        </w:tc>
        <w:tc>
          <w:tcPr>
            <w:tcW w:type="dxa" w:w="1872"/>
            <w:vAlign w:val="top"/>
          </w:tcPr>
          <w:p>
            <w:r/>
            <w:r>
              <w:rPr>
                <w:rFonts w:ascii="Arial" w:hAnsi="Arial"/>
                <w:b w:val="0"/>
                <w:sz w:val="16"/>
              </w:rPr>
              <w:t>$17.0K</w:t>
            </w:r>
          </w:p>
        </w:tc>
        <w:tc>
          <w:tcPr>
            <w:tcW w:type="dxa" w:w="1440"/>
            <w:vAlign w:val="top"/>
          </w:tcPr>
          <w:p>
            <w:r/>
            <w:r>
              <w:rPr>
                <w:rFonts w:ascii="Arial" w:hAnsi="Arial"/>
                <w:b w:val="0"/>
                <w:sz w:val="16"/>
              </w:rPr>
              <w:t>6.8%</w:t>
            </w:r>
          </w:p>
        </w:tc>
      </w:tr>
      <w:tr>
        <w:tc>
          <w:tcPr>
            <w:tcW w:type="dxa" w:w="1584"/>
            <w:vAlign w:val="top"/>
          </w:tcPr>
          <w:p>
            <w:r/>
            <w:r>
              <w:rPr>
                <w:rFonts w:ascii="Arial" w:hAnsi="Arial"/>
                <w:b w:val="0"/>
                <w:sz w:val="16"/>
              </w:rPr>
              <w:t>$250.0K</w:t>
            </w:r>
          </w:p>
        </w:tc>
        <w:tc>
          <w:tcPr>
            <w:tcW w:type="dxa" w:w="2016"/>
            <w:vAlign w:val="top"/>
          </w:tcPr>
          <w:p>
            <w:r/>
            <w:r>
              <w:rPr>
                <w:rFonts w:ascii="Arial" w:hAnsi="Arial"/>
                <w:b w:val="0"/>
                <w:sz w:val="16"/>
              </w:rPr>
              <w:t>$25.0K</w:t>
            </w:r>
          </w:p>
        </w:tc>
        <w:tc>
          <w:tcPr>
            <w:tcW w:type="dxa" w:w="1872"/>
            <w:vAlign w:val="top"/>
          </w:tcPr>
          <w:p>
            <w:r/>
            <w:r>
              <w:rPr>
                <w:rFonts w:ascii="Arial" w:hAnsi="Arial"/>
                <w:b w:val="0"/>
                <w:sz w:val="16"/>
              </w:rPr>
              <w:t>$116.25</w:t>
            </w:r>
          </w:p>
        </w:tc>
        <w:tc>
          <w:tcPr>
            <w:tcW w:type="dxa" w:w="1872"/>
            <w:vAlign w:val="top"/>
          </w:tcPr>
          <w:p>
            <w:r/>
            <w:r>
              <w:rPr>
                <w:rFonts w:ascii="Arial" w:hAnsi="Arial"/>
                <w:b w:val="0"/>
                <w:sz w:val="16"/>
              </w:rPr>
              <w:t>$42.4K</w:t>
            </w:r>
          </w:p>
        </w:tc>
        <w:tc>
          <w:tcPr>
            <w:tcW w:type="dxa" w:w="1440"/>
            <w:vAlign w:val="top"/>
          </w:tcPr>
          <w:p>
            <w:r/>
            <w:r>
              <w:rPr>
                <w:rFonts w:ascii="Arial" w:hAnsi="Arial"/>
                <w:b w:val="0"/>
                <w:sz w:val="16"/>
              </w:rPr>
              <w:t>17.0%</w:t>
            </w:r>
          </w:p>
        </w:tc>
      </w:tr>
      <w:tr>
        <w:tc>
          <w:tcPr>
            <w:tcW w:type="dxa" w:w="1584"/>
            <w:vAlign w:val="top"/>
          </w:tcPr>
          <w:p>
            <w:r/>
            <w:r>
              <w:rPr>
                <w:rFonts w:ascii="Arial" w:hAnsi="Arial"/>
                <w:b w:val="0"/>
                <w:sz w:val="16"/>
              </w:rPr>
              <w:t>$250.0K</w:t>
            </w:r>
          </w:p>
        </w:tc>
        <w:tc>
          <w:tcPr>
            <w:tcW w:type="dxa" w:w="2016"/>
            <w:vAlign w:val="top"/>
          </w:tcPr>
          <w:p>
            <w:r/>
            <w:r>
              <w:rPr>
                <w:rFonts w:ascii="Arial" w:hAnsi="Arial"/>
                <w:b w:val="0"/>
                <w:sz w:val="16"/>
              </w:rPr>
              <w:t>$100.0K</w:t>
            </w:r>
          </w:p>
        </w:tc>
        <w:tc>
          <w:tcPr>
            <w:tcW w:type="dxa" w:w="1872"/>
            <w:vAlign w:val="top"/>
          </w:tcPr>
          <w:p>
            <w:r/>
            <w:r>
              <w:rPr>
                <w:rFonts w:ascii="Arial" w:hAnsi="Arial"/>
                <w:b w:val="0"/>
                <w:sz w:val="16"/>
              </w:rPr>
              <w:t>$465.00</w:t>
            </w:r>
          </w:p>
        </w:tc>
        <w:tc>
          <w:tcPr>
            <w:tcW w:type="dxa" w:w="1872"/>
            <w:vAlign w:val="top"/>
          </w:tcPr>
          <w:p>
            <w:r/>
            <w:r>
              <w:rPr>
                <w:rFonts w:ascii="Arial" w:hAnsi="Arial"/>
                <w:b w:val="0"/>
                <w:sz w:val="16"/>
              </w:rPr>
              <w:t>$169.7K</w:t>
            </w:r>
          </w:p>
        </w:tc>
        <w:tc>
          <w:tcPr>
            <w:tcW w:type="dxa" w:w="1440"/>
            <w:vAlign w:val="top"/>
          </w:tcPr>
          <w:p>
            <w:r/>
            <w:r>
              <w:rPr>
                <w:rFonts w:ascii="Arial" w:hAnsi="Arial"/>
                <w:b w:val="0"/>
                <w:sz w:val="16"/>
              </w:rPr>
              <w:t>67.9%</w:t>
            </w:r>
          </w:p>
        </w:tc>
      </w:tr>
      <w:tr>
        <w:tc>
          <w:tcPr>
            <w:tcW w:type="dxa" w:w="1584"/>
            <w:vAlign w:val="top"/>
          </w:tcPr>
          <w:p>
            <w:r/>
            <w:r>
              <w:rPr>
                <w:rFonts w:ascii="Arial" w:hAnsi="Arial"/>
                <w:b w:val="0"/>
                <w:sz w:val="16"/>
              </w:rPr>
              <w:t>$250.0K</w:t>
            </w:r>
          </w:p>
        </w:tc>
        <w:tc>
          <w:tcPr>
            <w:tcW w:type="dxa" w:w="2016"/>
            <w:vAlign w:val="top"/>
          </w:tcPr>
          <w:p>
            <w:r/>
            <w:r>
              <w:rPr>
                <w:rFonts w:ascii="Arial" w:hAnsi="Arial"/>
                <w:b w:val="0"/>
                <w:sz w:val="16"/>
              </w:rPr>
              <w:t>$250.0K</w:t>
            </w:r>
          </w:p>
        </w:tc>
        <w:tc>
          <w:tcPr>
            <w:tcW w:type="dxa" w:w="1872"/>
            <w:vAlign w:val="top"/>
          </w:tcPr>
          <w:p>
            <w:r/>
            <w:r>
              <w:rPr>
                <w:rFonts w:ascii="Arial" w:hAnsi="Arial"/>
                <w:b w:val="0"/>
                <w:sz w:val="16"/>
              </w:rPr>
              <w:t>$1.2K</w:t>
            </w:r>
          </w:p>
        </w:tc>
        <w:tc>
          <w:tcPr>
            <w:tcW w:type="dxa" w:w="1872"/>
            <w:vAlign w:val="top"/>
          </w:tcPr>
          <w:p>
            <w:r/>
            <w:r>
              <w:rPr>
                <w:rFonts w:ascii="Arial" w:hAnsi="Arial"/>
                <w:b w:val="0"/>
                <w:sz w:val="16"/>
              </w:rPr>
              <w:t>$424.3K</w:t>
            </w:r>
          </w:p>
        </w:tc>
        <w:tc>
          <w:tcPr>
            <w:tcW w:type="dxa" w:w="1440"/>
            <w:vAlign w:val="top"/>
          </w:tcPr>
          <w:p>
            <w:r/>
            <w:r>
              <w:rPr>
                <w:rFonts w:ascii="Arial" w:hAnsi="Arial"/>
                <w:b w:val="0"/>
                <w:sz w:val="16"/>
              </w:rPr>
              <w:t>169.7%</w:t>
            </w:r>
          </w:p>
        </w:tc>
      </w:tr>
      <w:tr>
        <w:tc>
          <w:tcPr>
            <w:tcW w:type="dxa" w:w="1584"/>
            <w:vAlign w:val="top"/>
          </w:tcPr>
          <w:p>
            <w:r/>
            <w:r>
              <w:rPr>
                <w:rFonts w:ascii="Arial" w:hAnsi="Arial"/>
                <w:b w:val="0"/>
                <w:sz w:val="16"/>
              </w:rPr>
              <w:t>$250.0K</w:t>
            </w:r>
          </w:p>
        </w:tc>
        <w:tc>
          <w:tcPr>
            <w:tcW w:type="dxa" w:w="2016"/>
            <w:vAlign w:val="top"/>
          </w:tcPr>
          <w:p>
            <w:r/>
            <w:r>
              <w:rPr>
                <w:rFonts w:ascii="Arial" w:hAnsi="Arial"/>
                <w:b w:val="0"/>
                <w:sz w:val="16"/>
              </w:rPr>
              <w:t>$1.00M</w:t>
            </w:r>
          </w:p>
        </w:tc>
        <w:tc>
          <w:tcPr>
            <w:tcW w:type="dxa" w:w="1872"/>
            <w:vAlign w:val="top"/>
          </w:tcPr>
          <w:p>
            <w:r/>
            <w:r>
              <w:rPr>
                <w:rFonts w:ascii="Arial" w:hAnsi="Arial"/>
                <w:b w:val="0"/>
                <w:sz w:val="16"/>
              </w:rPr>
              <w:t>$4.7K</w:t>
            </w:r>
          </w:p>
        </w:tc>
        <w:tc>
          <w:tcPr>
            <w:tcW w:type="dxa" w:w="1872"/>
            <w:vAlign w:val="top"/>
          </w:tcPr>
          <w:p>
            <w:r/>
            <w:r>
              <w:rPr>
                <w:rFonts w:ascii="Arial" w:hAnsi="Arial"/>
                <w:b w:val="0"/>
                <w:sz w:val="16"/>
              </w:rPr>
              <w:t>$1.70M</w:t>
            </w:r>
          </w:p>
        </w:tc>
        <w:tc>
          <w:tcPr>
            <w:tcW w:type="dxa" w:w="1440"/>
            <w:vAlign w:val="top"/>
          </w:tcPr>
          <w:p>
            <w:r/>
            <w:r>
              <w:rPr>
                <w:rFonts w:ascii="Arial" w:hAnsi="Arial"/>
                <w:b w:val="0"/>
                <w:sz w:val="16"/>
              </w:rPr>
              <w:t>678.9%</w:t>
            </w:r>
          </w:p>
        </w:tc>
      </w:tr>
      <w:tr>
        <w:tc>
          <w:tcPr>
            <w:tcW w:type="dxa" w:w="1584"/>
            <w:vAlign w:val="top"/>
          </w:tcPr>
          <w:p>
            <w:r/>
            <w:r>
              <w:rPr>
                <w:rFonts w:ascii="Arial" w:hAnsi="Arial"/>
                <w:b w:val="0"/>
                <w:sz w:val="16"/>
              </w:rPr>
              <w:t>$1.00M</w:t>
            </w:r>
          </w:p>
        </w:tc>
        <w:tc>
          <w:tcPr>
            <w:tcW w:type="dxa" w:w="2016"/>
            <w:vAlign w:val="top"/>
          </w:tcPr>
          <w:p>
            <w:r/>
            <w:r>
              <w:rPr>
                <w:rFonts w:ascii="Arial" w:hAnsi="Arial"/>
                <w:b w:val="0"/>
                <w:sz w:val="16"/>
              </w:rPr>
              <w:t>$10.0K</w:t>
            </w:r>
          </w:p>
        </w:tc>
        <w:tc>
          <w:tcPr>
            <w:tcW w:type="dxa" w:w="1872"/>
            <w:vAlign w:val="top"/>
          </w:tcPr>
          <w:p>
            <w:r/>
            <w:r>
              <w:rPr>
                <w:rFonts w:ascii="Arial" w:hAnsi="Arial"/>
                <w:b w:val="0"/>
                <w:sz w:val="16"/>
              </w:rPr>
              <w:t>$46.50</w:t>
            </w:r>
          </w:p>
        </w:tc>
        <w:tc>
          <w:tcPr>
            <w:tcW w:type="dxa" w:w="1872"/>
            <w:vAlign w:val="top"/>
          </w:tcPr>
          <w:p>
            <w:r/>
            <w:r>
              <w:rPr>
                <w:rFonts w:ascii="Arial" w:hAnsi="Arial"/>
                <w:b w:val="0"/>
                <w:sz w:val="16"/>
              </w:rPr>
              <w:t>$17.0K</w:t>
            </w:r>
          </w:p>
        </w:tc>
        <w:tc>
          <w:tcPr>
            <w:tcW w:type="dxa" w:w="1440"/>
            <w:vAlign w:val="top"/>
          </w:tcPr>
          <w:p>
            <w:r/>
            <w:r>
              <w:rPr>
                <w:rFonts w:ascii="Arial" w:hAnsi="Arial"/>
                <w:b w:val="0"/>
                <w:sz w:val="16"/>
              </w:rPr>
              <w:t>1.7%</w:t>
            </w:r>
          </w:p>
        </w:tc>
      </w:tr>
      <w:tr>
        <w:tc>
          <w:tcPr>
            <w:tcW w:type="dxa" w:w="1584"/>
            <w:vAlign w:val="top"/>
          </w:tcPr>
          <w:p>
            <w:r/>
            <w:r>
              <w:rPr>
                <w:rFonts w:ascii="Arial" w:hAnsi="Arial"/>
                <w:b w:val="0"/>
                <w:sz w:val="16"/>
              </w:rPr>
              <w:t>$1.00M</w:t>
            </w:r>
          </w:p>
        </w:tc>
        <w:tc>
          <w:tcPr>
            <w:tcW w:type="dxa" w:w="2016"/>
            <w:vAlign w:val="top"/>
          </w:tcPr>
          <w:p>
            <w:r/>
            <w:r>
              <w:rPr>
                <w:rFonts w:ascii="Arial" w:hAnsi="Arial"/>
                <w:b w:val="0"/>
                <w:sz w:val="16"/>
              </w:rPr>
              <w:t>$25.0K</w:t>
            </w:r>
          </w:p>
        </w:tc>
        <w:tc>
          <w:tcPr>
            <w:tcW w:type="dxa" w:w="1872"/>
            <w:vAlign w:val="top"/>
          </w:tcPr>
          <w:p>
            <w:r/>
            <w:r>
              <w:rPr>
                <w:rFonts w:ascii="Arial" w:hAnsi="Arial"/>
                <w:b w:val="0"/>
                <w:sz w:val="16"/>
              </w:rPr>
              <w:t>$116.25</w:t>
            </w:r>
          </w:p>
        </w:tc>
        <w:tc>
          <w:tcPr>
            <w:tcW w:type="dxa" w:w="1872"/>
            <w:vAlign w:val="top"/>
          </w:tcPr>
          <w:p>
            <w:r/>
            <w:r>
              <w:rPr>
                <w:rFonts w:ascii="Arial" w:hAnsi="Arial"/>
                <w:b w:val="0"/>
                <w:sz w:val="16"/>
              </w:rPr>
              <w:t>$42.4K</w:t>
            </w:r>
          </w:p>
        </w:tc>
        <w:tc>
          <w:tcPr>
            <w:tcW w:type="dxa" w:w="1440"/>
            <w:vAlign w:val="top"/>
          </w:tcPr>
          <w:p>
            <w:r/>
            <w:r>
              <w:rPr>
                <w:rFonts w:ascii="Arial" w:hAnsi="Arial"/>
                <w:b w:val="0"/>
                <w:sz w:val="16"/>
              </w:rPr>
              <w:t>4.2%</w:t>
            </w:r>
          </w:p>
        </w:tc>
      </w:tr>
      <w:tr>
        <w:tc>
          <w:tcPr>
            <w:tcW w:type="dxa" w:w="1584"/>
            <w:vAlign w:val="top"/>
          </w:tcPr>
          <w:p>
            <w:r/>
            <w:r>
              <w:rPr>
                <w:rFonts w:ascii="Arial" w:hAnsi="Arial"/>
                <w:b w:val="0"/>
                <w:sz w:val="16"/>
              </w:rPr>
              <w:t>$1.00M</w:t>
            </w:r>
          </w:p>
        </w:tc>
        <w:tc>
          <w:tcPr>
            <w:tcW w:type="dxa" w:w="2016"/>
            <w:vAlign w:val="top"/>
          </w:tcPr>
          <w:p>
            <w:r/>
            <w:r>
              <w:rPr>
                <w:rFonts w:ascii="Arial" w:hAnsi="Arial"/>
                <w:b w:val="0"/>
                <w:sz w:val="16"/>
              </w:rPr>
              <w:t>$100.0K</w:t>
            </w:r>
          </w:p>
        </w:tc>
        <w:tc>
          <w:tcPr>
            <w:tcW w:type="dxa" w:w="1872"/>
            <w:vAlign w:val="top"/>
          </w:tcPr>
          <w:p>
            <w:r/>
            <w:r>
              <w:rPr>
                <w:rFonts w:ascii="Arial" w:hAnsi="Arial"/>
                <w:b w:val="0"/>
                <w:sz w:val="16"/>
              </w:rPr>
              <w:t>$465.00</w:t>
            </w:r>
          </w:p>
        </w:tc>
        <w:tc>
          <w:tcPr>
            <w:tcW w:type="dxa" w:w="1872"/>
            <w:vAlign w:val="top"/>
          </w:tcPr>
          <w:p>
            <w:r/>
            <w:r>
              <w:rPr>
                <w:rFonts w:ascii="Arial" w:hAnsi="Arial"/>
                <w:b w:val="0"/>
                <w:sz w:val="16"/>
              </w:rPr>
              <w:t>$169.7K</w:t>
            </w:r>
          </w:p>
        </w:tc>
        <w:tc>
          <w:tcPr>
            <w:tcW w:type="dxa" w:w="1440"/>
            <w:vAlign w:val="top"/>
          </w:tcPr>
          <w:p>
            <w:r/>
            <w:r>
              <w:rPr>
                <w:rFonts w:ascii="Arial" w:hAnsi="Arial"/>
                <w:b w:val="0"/>
                <w:sz w:val="16"/>
              </w:rPr>
              <w:t>17.0%</w:t>
            </w:r>
          </w:p>
        </w:tc>
      </w:tr>
      <w:tr>
        <w:tc>
          <w:tcPr>
            <w:tcW w:type="dxa" w:w="1584"/>
            <w:vAlign w:val="top"/>
          </w:tcPr>
          <w:p>
            <w:r/>
            <w:r>
              <w:rPr>
                <w:rFonts w:ascii="Arial" w:hAnsi="Arial"/>
                <w:b w:val="0"/>
                <w:sz w:val="16"/>
              </w:rPr>
              <w:t>$1.00M</w:t>
            </w:r>
          </w:p>
        </w:tc>
        <w:tc>
          <w:tcPr>
            <w:tcW w:type="dxa" w:w="2016"/>
            <w:vAlign w:val="top"/>
          </w:tcPr>
          <w:p>
            <w:r/>
            <w:r>
              <w:rPr>
                <w:rFonts w:ascii="Arial" w:hAnsi="Arial"/>
                <w:b w:val="0"/>
                <w:sz w:val="16"/>
              </w:rPr>
              <w:t>$250.0K</w:t>
            </w:r>
          </w:p>
        </w:tc>
        <w:tc>
          <w:tcPr>
            <w:tcW w:type="dxa" w:w="1872"/>
            <w:vAlign w:val="top"/>
          </w:tcPr>
          <w:p>
            <w:r/>
            <w:r>
              <w:rPr>
                <w:rFonts w:ascii="Arial" w:hAnsi="Arial"/>
                <w:b w:val="0"/>
                <w:sz w:val="16"/>
              </w:rPr>
              <w:t>$1.2K</w:t>
            </w:r>
          </w:p>
        </w:tc>
        <w:tc>
          <w:tcPr>
            <w:tcW w:type="dxa" w:w="1872"/>
            <w:vAlign w:val="top"/>
          </w:tcPr>
          <w:p>
            <w:r/>
            <w:r>
              <w:rPr>
                <w:rFonts w:ascii="Arial" w:hAnsi="Arial"/>
                <w:b w:val="0"/>
                <w:sz w:val="16"/>
              </w:rPr>
              <w:t>$424.3K</w:t>
            </w:r>
          </w:p>
        </w:tc>
        <w:tc>
          <w:tcPr>
            <w:tcW w:type="dxa" w:w="1440"/>
            <w:vAlign w:val="top"/>
          </w:tcPr>
          <w:p>
            <w:r/>
            <w:r>
              <w:rPr>
                <w:rFonts w:ascii="Arial" w:hAnsi="Arial"/>
                <w:b w:val="0"/>
                <w:sz w:val="16"/>
              </w:rPr>
              <w:t>42.4%</w:t>
            </w:r>
          </w:p>
        </w:tc>
      </w:tr>
      <w:tr>
        <w:tc>
          <w:tcPr>
            <w:tcW w:type="dxa" w:w="1584"/>
            <w:vAlign w:val="top"/>
          </w:tcPr>
          <w:p>
            <w:r/>
            <w:r>
              <w:rPr>
                <w:rFonts w:ascii="Arial" w:hAnsi="Arial"/>
                <w:b w:val="0"/>
                <w:sz w:val="16"/>
              </w:rPr>
              <w:t>$1.00M</w:t>
            </w:r>
          </w:p>
        </w:tc>
        <w:tc>
          <w:tcPr>
            <w:tcW w:type="dxa" w:w="2016"/>
            <w:vAlign w:val="top"/>
          </w:tcPr>
          <w:p>
            <w:r/>
            <w:r>
              <w:rPr>
                <w:rFonts w:ascii="Arial" w:hAnsi="Arial"/>
                <w:b w:val="0"/>
                <w:sz w:val="16"/>
              </w:rPr>
              <w:t>$1.00M</w:t>
            </w:r>
          </w:p>
        </w:tc>
        <w:tc>
          <w:tcPr>
            <w:tcW w:type="dxa" w:w="1872"/>
            <w:vAlign w:val="top"/>
          </w:tcPr>
          <w:p>
            <w:r/>
            <w:r>
              <w:rPr>
                <w:rFonts w:ascii="Arial" w:hAnsi="Arial"/>
                <w:b w:val="0"/>
                <w:sz w:val="16"/>
              </w:rPr>
              <w:t>$4.7K</w:t>
            </w:r>
          </w:p>
        </w:tc>
        <w:tc>
          <w:tcPr>
            <w:tcW w:type="dxa" w:w="1872"/>
            <w:vAlign w:val="top"/>
          </w:tcPr>
          <w:p>
            <w:r/>
            <w:r>
              <w:rPr>
                <w:rFonts w:ascii="Arial" w:hAnsi="Arial"/>
                <w:b w:val="0"/>
                <w:sz w:val="16"/>
              </w:rPr>
              <w:t>$1.70M</w:t>
            </w:r>
          </w:p>
        </w:tc>
        <w:tc>
          <w:tcPr>
            <w:tcW w:type="dxa" w:w="1440"/>
            <w:vAlign w:val="top"/>
          </w:tcPr>
          <w:p>
            <w:r/>
            <w:r>
              <w:rPr>
                <w:rFonts w:ascii="Arial" w:hAnsi="Arial"/>
                <w:b w:val="0"/>
                <w:sz w:val="16"/>
              </w:rPr>
              <w:t>169.7%</w:t>
            </w:r>
          </w:p>
        </w:tc>
      </w:tr>
    </w:tbl>
    <w:p/>
    <w:p>
      <w:r>
        <w:rPr>
          <w:b w:val="0"/>
        </w:rPr>
        <w:t>High early APR is acceptable only if generated by real volume. High APR should attract more TVL, which improves execution and normalizes yield.</w:t>
      </w:r>
    </w:p>
    <w:p>
      <w:pPr>
        <w:pStyle w:val="Heading1"/>
      </w:pPr>
      <w:r>
        <w:rPr>
          <w:b w:val="0"/>
        </w:rPr>
        <w:t>7. Lock Timelines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11827"/>
            <w:vAlign w:val="top"/>
          </w:tcPr>
          <w:p>
            <w:r/>
            <w:r>
              <w:rPr>
                <w:rFonts w:ascii="Arial" w:hAnsi="Arial"/>
                <w:b/>
                <w:color w:val="FFFFFF"/>
                <w:sz w:val="16"/>
              </w:rPr>
              <w:t>Lock term</w:t>
            </w:r>
          </w:p>
        </w:tc>
        <w:tc>
          <w:tcPr>
            <w:tcW w:type="dxa" w:w="1728"/>
            <w:shd w:fill="111827"/>
            <w:vAlign w:val="top"/>
          </w:tcPr>
          <w:p>
            <w:r/>
            <w:r>
              <w:rPr>
                <w:rFonts w:ascii="Arial" w:hAnsi="Arial"/>
                <w:b/>
                <w:color w:val="FFFFFF"/>
                <w:sz w:val="16"/>
              </w:rPr>
              <w:t>Multiplier</w:t>
            </w:r>
          </w:p>
        </w:tc>
        <w:tc>
          <w:tcPr>
            <w:tcW w:type="dxa" w:w="6192"/>
            <w:shd w:fill="111827"/>
            <w:vAlign w:val="top"/>
          </w:tcPr>
          <w:p>
            <w:r/>
            <w:r>
              <w:rPr>
                <w:rFonts w:ascii="Arial" w:hAnsi="Arial"/>
                <w:b/>
                <w:color w:val="FFFFFF"/>
                <w:sz w:val="16"/>
              </w:rPr>
              <w:t>Purpose</w:t>
            </w:r>
          </w:p>
        </w:tc>
      </w:tr>
      <w:tr>
        <w:tc>
          <w:tcPr>
            <w:tcW w:type="dxa" w:w="2448"/>
            <w:vAlign w:val="top"/>
          </w:tcPr>
          <w:p>
            <w:r/>
            <w:r>
              <w:rPr>
                <w:rFonts w:ascii="Arial" w:hAnsi="Arial"/>
                <w:b w:val="0"/>
                <w:sz w:val="16"/>
              </w:rPr>
              <w:t>Flexible, 7-day cooldown</w:t>
            </w:r>
          </w:p>
        </w:tc>
        <w:tc>
          <w:tcPr>
            <w:tcW w:type="dxa" w:w="1728"/>
            <w:vAlign w:val="top"/>
          </w:tcPr>
          <w:p>
            <w:r/>
            <w:r>
              <w:rPr>
                <w:rFonts w:ascii="Arial" w:hAnsi="Arial"/>
                <w:b w:val="0"/>
                <w:sz w:val="16"/>
              </w:rPr>
              <w:t>0.5x</w:t>
            </w:r>
          </w:p>
        </w:tc>
        <w:tc>
          <w:tcPr>
            <w:tcW w:type="dxa" w:w="6192"/>
            <w:vAlign w:val="top"/>
          </w:tcPr>
          <w:p>
            <w:r/>
            <w:r>
              <w:rPr>
                <w:rFonts w:ascii="Arial" w:hAnsi="Arial"/>
                <w:b w:val="0"/>
                <w:sz w:val="16"/>
              </w:rPr>
              <w:t>Casual holders</w:t>
            </w:r>
          </w:p>
        </w:tc>
      </w:tr>
      <w:tr>
        <w:tc>
          <w:tcPr>
            <w:tcW w:type="dxa" w:w="2448"/>
            <w:vAlign w:val="top"/>
          </w:tcPr>
          <w:p>
            <w:r/>
            <w:r>
              <w:rPr>
                <w:rFonts w:ascii="Arial" w:hAnsi="Arial"/>
                <w:b w:val="0"/>
                <w:sz w:val="16"/>
              </w:rPr>
              <w:t>30 days</w:t>
            </w:r>
          </w:p>
        </w:tc>
        <w:tc>
          <w:tcPr>
            <w:tcW w:type="dxa" w:w="1728"/>
            <w:vAlign w:val="top"/>
          </w:tcPr>
          <w:p>
            <w:r/>
            <w:r>
              <w:rPr>
                <w:rFonts w:ascii="Arial" w:hAnsi="Arial"/>
                <w:b w:val="0"/>
                <w:sz w:val="16"/>
              </w:rPr>
              <w:t>1.0x</w:t>
            </w:r>
          </w:p>
        </w:tc>
        <w:tc>
          <w:tcPr>
            <w:tcW w:type="dxa" w:w="6192"/>
            <w:vAlign w:val="top"/>
          </w:tcPr>
          <w:p>
            <w:r/>
            <w:r>
              <w:rPr>
                <w:rFonts w:ascii="Arial" w:hAnsi="Arial"/>
                <w:b w:val="0"/>
                <w:sz w:val="16"/>
              </w:rPr>
              <w:t>Base staking</w:t>
            </w:r>
          </w:p>
        </w:tc>
      </w:tr>
      <w:tr>
        <w:tc>
          <w:tcPr>
            <w:tcW w:type="dxa" w:w="2448"/>
            <w:vAlign w:val="top"/>
          </w:tcPr>
          <w:p>
            <w:r/>
            <w:r>
              <w:rPr>
                <w:rFonts w:ascii="Arial" w:hAnsi="Arial"/>
                <w:b w:val="0"/>
                <w:sz w:val="16"/>
              </w:rPr>
              <w:t>90 days</w:t>
            </w:r>
          </w:p>
        </w:tc>
        <w:tc>
          <w:tcPr>
            <w:tcW w:type="dxa" w:w="1728"/>
            <w:vAlign w:val="top"/>
          </w:tcPr>
          <w:p>
            <w:r/>
            <w:r>
              <w:rPr>
                <w:rFonts w:ascii="Arial" w:hAnsi="Arial"/>
                <w:b w:val="0"/>
                <w:sz w:val="16"/>
              </w:rPr>
              <w:t>1.75x</w:t>
            </w:r>
          </w:p>
        </w:tc>
        <w:tc>
          <w:tcPr>
            <w:tcW w:type="dxa" w:w="6192"/>
            <w:vAlign w:val="top"/>
          </w:tcPr>
          <w:p>
            <w:r/>
            <w:r>
              <w:rPr>
                <w:rFonts w:ascii="Arial" w:hAnsi="Arial"/>
                <w:b w:val="0"/>
                <w:sz w:val="16"/>
              </w:rPr>
              <w:t>Serious holders</w:t>
            </w:r>
          </w:p>
        </w:tc>
      </w:tr>
      <w:tr>
        <w:tc>
          <w:tcPr>
            <w:tcW w:type="dxa" w:w="2448"/>
            <w:vAlign w:val="top"/>
          </w:tcPr>
          <w:p>
            <w:r/>
            <w:r>
              <w:rPr>
                <w:rFonts w:ascii="Arial" w:hAnsi="Arial"/>
                <w:b w:val="0"/>
                <w:sz w:val="16"/>
              </w:rPr>
              <w:t>180 days</w:t>
            </w:r>
          </w:p>
        </w:tc>
        <w:tc>
          <w:tcPr>
            <w:tcW w:type="dxa" w:w="1728"/>
            <w:vAlign w:val="top"/>
          </w:tcPr>
          <w:p>
            <w:r/>
            <w:r>
              <w:rPr>
                <w:rFonts w:ascii="Arial" w:hAnsi="Arial"/>
                <w:b w:val="0"/>
                <w:sz w:val="16"/>
              </w:rPr>
              <w:t>2.5x</w:t>
            </w:r>
          </w:p>
        </w:tc>
        <w:tc>
          <w:tcPr>
            <w:tcW w:type="dxa" w:w="6192"/>
            <w:vAlign w:val="top"/>
          </w:tcPr>
          <w:p>
            <w:r/>
            <w:r>
              <w:rPr>
                <w:rFonts w:ascii="Arial" w:hAnsi="Arial"/>
                <w:b w:val="0"/>
                <w:sz w:val="16"/>
              </w:rPr>
              <w:t>Long-term liquidity supporters</w:t>
            </w:r>
          </w:p>
        </w:tc>
      </w:tr>
      <w:tr>
        <w:tc>
          <w:tcPr>
            <w:tcW w:type="dxa" w:w="2448"/>
            <w:vAlign w:val="top"/>
          </w:tcPr>
          <w:p>
            <w:r/>
            <w:r>
              <w:rPr>
                <w:rFonts w:ascii="Arial" w:hAnsi="Arial"/>
                <w:b w:val="0"/>
                <w:sz w:val="16"/>
              </w:rPr>
              <w:t>365 days</w:t>
            </w:r>
          </w:p>
        </w:tc>
        <w:tc>
          <w:tcPr>
            <w:tcW w:type="dxa" w:w="1728"/>
            <w:vAlign w:val="top"/>
          </w:tcPr>
          <w:p>
            <w:r/>
            <w:r>
              <w:rPr>
                <w:rFonts w:ascii="Arial" w:hAnsi="Arial"/>
                <w:b w:val="0"/>
                <w:sz w:val="16"/>
              </w:rPr>
              <w:t>4.0x</w:t>
            </w:r>
          </w:p>
        </w:tc>
        <w:tc>
          <w:tcPr>
            <w:tcW w:type="dxa" w:w="6192"/>
            <w:vAlign w:val="top"/>
          </w:tcPr>
          <w:p>
            <w:r/>
            <w:r>
              <w:rPr>
                <w:rFonts w:ascii="Arial" w:hAnsi="Arial"/>
                <w:b w:val="0"/>
                <w:sz w:val="16"/>
              </w:rPr>
              <w:t>Strategic holders and governance participants</w:t>
            </w:r>
          </w:p>
        </w:tc>
      </w:tr>
    </w:tbl>
    <w:p/>
    <w:p>
      <w:pPr>
        <w:pStyle w:val="Heading1"/>
      </w:pPr>
      <w:r>
        <w:rPr>
          <w:b w:val="0"/>
        </w:rPr>
        <w:t>8. Execution Plan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shd w:fill="111827"/>
            <w:vAlign w:val="top"/>
          </w:tcPr>
          <w:p>
            <w:r/>
            <w:r>
              <w:rPr>
                <w:rFonts w:ascii="Arial" w:hAnsi="Arial"/>
                <w:b/>
                <w:color w:val="FFFFFF"/>
                <w:sz w:val="16"/>
              </w:rPr>
              <w:t>Phase</w:t>
            </w:r>
          </w:p>
        </w:tc>
        <w:tc>
          <w:tcPr>
            <w:tcW w:type="dxa" w:w="2016"/>
            <w:shd w:fill="111827"/>
            <w:vAlign w:val="top"/>
          </w:tcPr>
          <w:p>
            <w:r/>
            <w:r>
              <w:rPr>
                <w:rFonts w:ascii="Arial" w:hAnsi="Arial"/>
                <w:b/>
                <w:color w:val="FFFFFF"/>
                <w:sz w:val="16"/>
              </w:rPr>
              <w:t>Goal</w:t>
            </w:r>
          </w:p>
        </w:tc>
        <w:tc>
          <w:tcPr>
            <w:tcW w:type="dxa" w:w="4896"/>
            <w:shd w:fill="111827"/>
            <w:vAlign w:val="top"/>
          </w:tcPr>
          <w:p>
            <w:r/>
            <w:r>
              <w:rPr>
                <w:rFonts w:ascii="Arial" w:hAnsi="Arial"/>
                <w:b/>
                <w:color w:val="FFFFFF"/>
                <w:sz w:val="16"/>
              </w:rPr>
              <w:t>Core deliverables</w:t>
            </w:r>
          </w:p>
        </w:tc>
        <w:tc>
          <w:tcPr>
            <w:tcW w:type="dxa" w:w="4464"/>
            <w:shd w:fill="111827"/>
            <w:vAlign w:val="top"/>
          </w:tcPr>
          <w:p>
            <w:r/>
            <w:r>
              <w:rPr>
                <w:rFonts w:ascii="Arial" w:hAnsi="Arial"/>
                <w:b/>
                <w:color w:val="FFFFFF"/>
                <w:sz w:val="16"/>
              </w:rPr>
              <w:t>Acceptance gate</w:t>
            </w:r>
          </w:p>
        </w:tc>
      </w:tr>
      <w:tr>
        <w:tc>
          <w:tcPr>
            <w:tcW w:type="dxa" w:w="1584"/>
            <w:vAlign w:val="top"/>
          </w:tcPr>
          <w:p>
            <w:r/>
            <w:r>
              <w:rPr>
                <w:rFonts w:ascii="Arial" w:hAnsi="Arial"/>
                <w:b w:val="0"/>
                <w:sz w:val="16"/>
              </w:rPr>
              <w:t>0 Foundation</w:t>
            </w:r>
          </w:p>
        </w:tc>
        <w:tc>
          <w:tcPr>
            <w:tcW w:type="dxa" w:w="2016"/>
            <w:vAlign w:val="top"/>
          </w:tcPr>
          <w:p>
            <w:r/>
            <w:r>
              <w:rPr>
                <w:rFonts w:ascii="Arial" w:hAnsi="Arial"/>
                <w:b w:val="0"/>
                <w:sz w:val="16"/>
              </w:rPr>
              <w:t>Remove ambiguity before cross-chain supply</w:t>
            </w:r>
          </w:p>
        </w:tc>
        <w:tc>
          <w:tcPr>
            <w:tcW w:type="dxa" w:w="4896"/>
            <w:vAlign w:val="top"/>
          </w:tcPr>
          <w:p>
            <w:r/>
            <w:r>
              <w:rPr>
                <w:rFonts w:ascii="Arial" w:hAnsi="Arial"/>
                <w:b w:val="0"/>
                <w:sz w:val="16"/>
              </w:rPr>
              <w:t>Decimal verification, NTT policy, allocation registry, fee policy, dashboard wireframe</w:t>
            </w:r>
          </w:p>
        </w:tc>
        <w:tc>
          <w:tcPr>
            <w:tcW w:type="dxa" w:w="4464"/>
            <w:vAlign w:val="top"/>
          </w:tcPr>
          <w:p>
            <w:r/>
            <w:r>
              <w:rPr>
                <w:rFonts w:ascii="Arial" w:hAnsi="Arial"/>
                <w:b w:val="0"/>
                <w:sz w:val="16"/>
              </w:rPr>
              <w:t>Token metadata verified; no unresolved P0 ambiguity</w:t>
            </w:r>
          </w:p>
        </w:tc>
      </w:tr>
      <w:tr>
        <w:tc>
          <w:tcPr>
            <w:tcW w:type="dxa" w:w="1584"/>
            <w:vAlign w:val="top"/>
          </w:tcPr>
          <w:p>
            <w:r/>
            <w:r>
              <w:rPr>
                <w:rFonts w:ascii="Arial" w:hAnsi="Arial"/>
                <w:b w:val="0"/>
                <w:sz w:val="16"/>
              </w:rPr>
              <w:t>1 Base Genesis</w:t>
            </w:r>
          </w:p>
        </w:tc>
        <w:tc>
          <w:tcPr>
            <w:tcW w:type="dxa" w:w="2016"/>
            <w:vAlign w:val="top"/>
          </w:tcPr>
          <w:p>
            <w:r/>
            <w:r>
              <w:rPr>
                <w:rFonts w:ascii="Arial" w:hAnsi="Arial"/>
                <w:b w:val="0"/>
                <w:sz w:val="16"/>
              </w:rPr>
              <w:t>Make Base first EVM home</w:t>
            </w:r>
          </w:p>
        </w:tc>
        <w:tc>
          <w:tcPr>
            <w:tcW w:type="dxa" w:w="4896"/>
            <w:vAlign w:val="top"/>
          </w:tcPr>
          <w:p>
            <w:r/>
            <w:r>
              <w:rPr>
                <w:rFonts w:ascii="Arial" w:hAnsi="Arial"/>
                <w:b w:val="0"/>
                <w:sz w:val="16"/>
              </w:rPr>
              <w:t>Base ERC-20, NTT manager, Base pool, GlobalStakeVault, LPVault, POL vault</w:t>
            </w:r>
          </w:p>
        </w:tc>
        <w:tc>
          <w:tcPr>
            <w:tcW w:type="dxa" w:w="4464"/>
            <w:vAlign w:val="top"/>
          </w:tcPr>
          <w:p>
            <w:r/>
            <w:r>
              <w:rPr>
                <w:rFonts w:ascii="Arial" w:hAnsi="Arial"/>
                <w:b w:val="0"/>
                <w:sz w:val="16"/>
              </w:rPr>
              <w:t>NTT transfer both directions; small swaps pass guardrails</w:t>
            </w:r>
          </w:p>
        </w:tc>
      </w:tr>
      <w:tr>
        <w:tc>
          <w:tcPr>
            <w:tcW w:type="dxa" w:w="1584"/>
            <w:vAlign w:val="top"/>
          </w:tcPr>
          <w:p>
            <w:r/>
            <w:r>
              <w:rPr>
                <w:rFonts w:ascii="Arial" w:hAnsi="Arial"/>
                <w:b w:val="0"/>
                <w:sz w:val="16"/>
              </w:rPr>
              <w:t>2 SW4P Routing</w:t>
            </w:r>
          </w:p>
        </w:tc>
        <w:tc>
          <w:tcPr>
            <w:tcW w:type="dxa" w:w="2016"/>
            <w:vAlign w:val="top"/>
          </w:tcPr>
          <w:p>
            <w:r/>
            <w:r>
              <w:rPr>
                <w:rFonts w:ascii="Arial" w:hAnsi="Arial"/>
                <w:b w:val="0"/>
                <w:sz w:val="16"/>
              </w:rPr>
              <w:t>Route real volume safely</w:t>
            </w:r>
          </w:p>
        </w:tc>
        <w:tc>
          <w:tcPr>
            <w:tcW w:type="dxa" w:w="4896"/>
            <w:vAlign w:val="top"/>
          </w:tcPr>
          <w:p>
            <w:r/>
            <w:r>
              <w:rPr>
                <w:rFonts w:ascii="Arial" w:hAnsi="Arial"/>
                <w:b w:val="0"/>
                <w:sz w:val="16"/>
              </w:rPr>
              <w:t>Route scoring, pool caps, route event ledger, slippage guardrails</w:t>
            </w:r>
          </w:p>
        </w:tc>
        <w:tc>
          <w:tcPr>
            <w:tcW w:type="dxa" w:w="4464"/>
            <w:vAlign w:val="top"/>
          </w:tcPr>
          <w:p>
            <w:r/>
            <w:r>
              <w:rPr>
                <w:rFonts w:ascii="Arial" w:hAnsi="Arial"/>
                <w:b w:val="0"/>
                <w:sz w:val="16"/>
              </w:rPr>
              <w:t>SW4P routes only when best-execution passes</w:t>
            </w:r>
          </w:p>
        </w:tc>
      </w:tr>
      <w:tr>
        <w:tc>
          <w:tcPr>
            <w:tcW w:type="dxa" w:w="1584"/>
            <w:vAlign w:val="top"/>
          </w:tcPr>
          <w:p>
            <w:r/>
            <w:r>
              <w:rPr>
                <w:rFonts w:ascii="Arial" w:hAnsi="Arial"/>
                <w:b w:val="0"/>
                <w:sz w:val="16"/>
              </w:rPr>
              <w:t>3 Fee/Rewards</w:t>
            </w:r>
          </w:p>
        </w:tc>
        <w:tc>
          <w:tcPr>
            <w:tcW w:type="dxa" w:w="2016"/>
            <w:vAlign w:val="top"/>
          </w:tcPr>
          <w:p>
            <w:r/>
            <w:r>
              <w:rPr>
                <w:rFonts w:ascii="Arial" w:hAnsi="Arial"/>
                <w:b w:val="0"/>
                <w:sz w:val="16"/>
              </w:rPr>
              <w:t>Make real fees claimable</w:t>
            </w:r>
          </w:p>
        </w:tc>
        <w:tc>
          <w:tcPr>
            <w:tcW w:type="dxa" w:w="4896"/>
            <w:vAlign w:val="top"/>
          </w:tcPr>
          <w:p>
            <w:r/>
            <w:r>
              <w:rPr>
                <w:rFonts w:ascii="Arial" w:hAnsi="Arial"/>
                <w:b w:val="0"/>
                <w:sz w:val="16"/>
              </w:rPr>
              <w:t>DEX harvester, SW4P fee allocation, Pump fee ingest, reward epochs</w:t>
            </w:r>
          </w:p>
        </w:tc>
        <w:tc>
          <w:tcPr>
            <w:tcW w:type="dxa" w:w="4464"/>
            <w:vAlign w:val="top"/>
          </w:tcPr>
          <w:p>
            <w:r/>
            <w:r>
              <w:rPr>
                <w:rFonts w:ascii="Arial" w:hAnsi="Arial"/>
                <w:b w:val="0"/>
                <w:sz w:val="16"/>
              </w:rPr>
              <w:t>Rewards trace to fee events and cannot double-claim</w:t>
            </w:r>
          </w:p>
        </w:tc>
      </w:tr>
      <w:tr>
        <w:tc>
          <w:tcPr>
            <w:tcW w:type="dxa" w:w="1584"/>
            <w:vAlign w:val="top"/>
          </w:tcPr>
          <w:p>
            <w:r/>
            <w:r>
              <w:rPr>
                <w:rFonts w:ascii="Arial" w:hAnsi="Arial"/>
                <w:b w:val="0"/>
                <w:sz w:val="16"/>
              </w:rPr>
              <w:t>4 Liquidity Bootstrap</w:t>
            </w:r>
          </w:p>
        </w:tc>
        <w:tc>
          <w:tcPr>
            <w:tcW w:type="dxa" w:w="2016"/>
            <w:vAlign w:val="top"/>
          </w:tcPr>
          <w:p>
            <w:r/>
            <w:r>
              <w:rPr>
                <w:rFonts w:ascii="Arial" w:hAnsi="Arial"/>
                <w:b w:val="0"/>
                <w:sz w:val="16"/>
              </w:rPr>
              <w:t>Grow paired liquidity</w:t>
            </w:r>
          </w:p>
        </w:tc>
        <w:tc>
          <w:tcPr>
            <w:tcW w:type="dxa" w:w="4896"/>
            <w:vAlign w:val="top"/>
          </w:tcPr>
          <w:p>
            <w:r/>
            <w:r>
              <w:rPr>
                <w:rFonts w:ascii="Arial" w:hAnsi="Arial"/>
                <w:b w:val="0"/>
                <w:sz w:val="16"/>
              </w:rPr>
              <w:t>LP incentives, USDC/ETH LP onboarding, Matched 555 beta</w:t>
            </w:r>
          </w:p>
        </w:tc>
        <w:tc>
          <w:tcPr>
            <w:tcW w:type="dxa" w:w="4464"/>
            <w:vAlign w:val="top"/>
          </w:tcPr>
          <w:p>
            <w:r/>
            <w:r>
              <w:rPr>
                <w:rFonts w:ascii="Arial" w:hAnsi="Arial"/>
                <w:b w:val="0"/>
                <w:sz w:val="16"/>
              </w:rPr>
              <w:t>Incentives conditioned on real TVL and route volume</w:t>
            </w:r>
          </w:p>
        </w:tc>
      </w:tr>
      <w:tr>
        <w:tc>
          <w:tcPr>
            <w:tcW w:type="dxa" w:w="1584"/>
            <w:vAlign w:val="top"/>
          </w:tcPr>
          <w:p>
            <w:r/>
            <w:r>
              <w:rPr>
                <w:rFonts w:ascii="Arial" w:hAnsi="Arial"/>
                <w:b w:val="0"/>
                <w:sz w:val="16"/>
              </w:rPr>
              <w:t>5 Expansion</w:t>
            </w:r>
          </w:p>
        </w:tc>
        <w:tc>
          <w:tcPr>
            <w:tcW w:type="dxa" w:w="2016"/>
            <w:vAlign w:val="top"/>
          </w:tcPr>
          <w:p>
            <w:r/>
            <w:r>
              <w:rPr>
                <w:rFonts w:ascii="Arial" w:hAnsi="Arial"/>
                <w:b w:val="0"/>
                <w:sz w:val="16"/>
              </w:rPr>
              <w:t>Add chains after proof</w:t>
            </w:r>
          </w:p>
        </w:tc>
        <w:tc>
          <w:tcPr>
            <w:tcW w:type="dxa" w:w="4896"/>
            <w:vAlign w:val="top"/>
          </w:tcPr>
          <w:p>
            <w:r/>
            <w:r>
              <w:rPr>
                <w:rFonts w:ascii="Arial" w:hAnsi="Arial"/>
                <w:b w:val="0"/>
                <w:sz w:val="16"/>
              </w:rPr>
              <w:t>Arbitrum, then Polygon; gauge controls</w:t>
            </w:r>
          </w:p>
        </w:tc>
        <w:tc>
          <w:tcPr>
            <w:tcW w:type="dxa" w:w="4464"/>
            <w:vAlign w:val="top"/>
          </w:tcPr>
          <w:p>
            <w:r/>
            <w:r>
              <w:rPr>
                <w:rFonts w:ascii="Arial" w:hAnsi="Arial"/>
                <w:b w:val="0"/>
                <w:sz w:val="16"/>
              </w:rPr>
              <w:t>Base thresholds met before expansion</w:t>
            </w:r>
          </w:p>
        </w:tc>
      </w:tr>
      <w:tr>
        <w:tc>
          <w:tcPr>
            <w:tcW w:type="dxa" w:w="1584"/>
            <w:vAlign w:val="top"/>
          </w:tcPr>
          <w:p>
            <w:r/>
            <w:r>
              <w:rPr>
                <w:rFonts w:ascii="Arial" w:hAnsi="Arial"/>
                <w:b w:val="0"/>
                <w:sz w:val="16"/>
              </w:rPr>
              <w:t>6 MM Readiness</w:t>
            </w:r>
          </w:p>
        </w:tc>
        <w:tc>
          <w:tcPr>
            <w:tcW w:type="dxa" w:w="2016"/>
            <w:vAlign w:val="top"/>
          </w:tcPr>
          <w:p>
            <w:r/>
            <w:r>
              <w:rPr>
                <w:rFonts w:ascii="Arial" w:hAnsi="Arial"/>
                <w:b w:val="0"/>
                <w:sz w:val="16"/>
              </w:rPr>
              <w:t>Prepare market-quality support</w:t>
            </w:r>
          </w:p>
        </w:tc>
        <w:tc>
          <w:tcPr>
            <w:tcW w:type="dxa" w:w="4896"/>
            <w:vAlign w:val="top"/>
          </w:tcPr>
          <w:p>
            <w:r/>
            <w:r>
              <w:rPr>
                <w:rFonts w:ascii="Arial" w:hAnsi="Arial"/>
                <w:b w:val="0"/>
                <w:sz w:val="16"/>
              </w:rPr>
              <w:t>MM vault, quote-depth reports, callable inventory</w:t>
            </w:r>
          </w:p>
        </w:tc>
        <w:tc>
          <w:tcPr>
            <w:tcW w:type="dxa" w:w="4464"/>
            <w:vAlign w:val="top"/>
          </w:tcPr>
          <w:p>
            <w:r/>
            <w:r>
              <w:rPr>
                <w:rFonts w:ascii="Arial" w:hAnsi="Arial"/>
                <w:b w:val="0"/>
                <w:sz w:val="16"/>
              </w:rPr>
              <w:t>No-wash mandate and public reporting in place</w:t>
            </w:r>
          </w:p>
        </w:tc>
      </w:tr>
    </w:tbl>
    <w:p/>
    <w:p>
      <w:pPr>
        <w:pStyle w:val="Heading1"/>
      </w:pPr>
      <w:r>
        <w:rPr>
          <w:b w:val="0"/>
        </w:rPr>
        <w:t>Part B — Technical Requirements Document</w:t>
      </w:r>
    </w:p>
    <w:p>
      <w:pPr>
        <w:pStyle w:val="Heading2"/>
      </w:pPr>
      <w:r>
        <w:rPr>
          <w:b w:val="0"/>
        </w:rPr>
        <w:t>TRD Objective</w:t>
      </w:r>
    </w:p>
    <w:p>
      <w:r>
        <w:rPr>
          <w:b w:val="0"/>
        </w:rPr>
        <w:t>Build the technical system that lets SW4P route real $555 flow through approved pools, lets users stake or provide liquidity, distributes fees transparently, and uses Pump/SW4P/product revenue to compound liquidity, buybacks, reserves, and market-maker readiness.</w:t>
      </w:r>
    </w:p>
    <w:p>
      <w:pPr>
        <w:pStyle w:val="Heading2"/>
      </w:pPr>
      <w:r>
        <w:rPr>
          <w:b w:val="0"/>
        </w:rPr>
        <w:t>Functional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1080"/>
            <w:shd w:fill="111827"/>
            <w:vAlign w:val="top"/>
          </w:tcPr>
          <w:p>
            <w:r/>
            <w:r>
              <w:rPr>
                <w:rFonts w:ascii="Arial" w:hAnsi="Arial"/>
                <w:b/>
                <w:color w:val="FFFFFF"/>
                <w:sz w:val="16"/>
              </w:rPr>
              <w:t>ID</w:t>
            </w:r>
          </w:p>
        </w:tc>
        <w:tc>
          <w:tcPr>
            <w:tcW w:type="dxa" w:w="8928"/>
            <w:shd w:fill="111827"/>
            <w:vAlign w:val="top"/>
          </w:tcPr>
          <w:p>
            <w:r/>
            <w:r>
              <w:rPr>
                <w:rFonts w:ascii="Arial" w:hAnsi="Arial"/>
                <w:b/>
                <w:color w:val="FFFFFF"/>
                <w:sz w:val="16"/>
              </w:rPr>
              <w:t>Requirement</w:t>
            </w:r>
          </w:p>
        </w:tc>
        <w:tc>
          <w:tcPr>
            <w:tcW w:type="dxa" w:w="1008"/>
            <w:shd w:fill="111827"/>
            <w:vAlign w:val="top"/>
          </w:tcPr>
          <w:p>
            <w:r/>
            <w:r>
              <w:rPr>
                <w:rFonts w:ascii="Arial" w:hAnsi="Arial"/>
                <w:b/>
                <w:color w:val="FFFFFF"/>
                <w:sz w:val="16"/>
              </w:rPr>
              <w:t>Priority</w:t>
            </w:r>
          </w:p>
        </w:tc>
      </w:tr>
      <w:tr>
        <w:tc>
          <w:tcPr>
            <w:tcW w:type="dxa" w:w="1080"/>
            <w:vAlign w:val="top"/>
          </w:tcPr>
          <w:p>
            <w:r/>
            <w:r>
              <w:rPr>
                <w:rFonts w:ascii="Arial" w:hAnsi="Arial"/>
                <w:b w:val="0"/>
                <w:sz w:val="16"/>
              </w:rPr>
              <w:t>FR-001</w:t>
            </w:r>
          </w:p>
        </w:tc>
        <w:tc>
          <w:tcPr>
            <w:tcW w:type="dxa" w:w="8928"/>
            <w:vAlign w:val="top"/>
          </w:tcPr>
          <w:p>
            <w:r/>
            <w:r>
              <w:rPr>
                <w:rFonts w:ascii="Arial" w:hAnsi="Arial"/>
                <w:b w:val="0"/>
                <w:sz w:val="16"/>
              </w:rPr>
              <w:t>Verify live $555 token metadata and decimals at startup and deployment</w:t>
            </w:r>
          </w:p>
        </w:tc>
        <w:tc>
          <w:tcPr>
            <w:tcW w:type="dxa" w:w="1008"/>
            <w:vAlign w:val="top"/>
          </w:tcPr>
          <w:p>
            <w:r/>
            <w:r>
              <w:rPr>
                <w:rFonts w:ascii="Arial" w:hAnsi="Arial"/>
                <w:b w:val="0"/>
                <w:sz w:val="16"/>
              </w:rPr>
              <w:t>P0</w:t>
            </w:r>
          </w:p>
        </w:tc>
      </w:tr>
      <w:tr>
        <w:tc>
          <w:tcPr>
            <w:tcW w:type="dxa" w:w="1080"/>
            <w:vAlign w:val="top"/>
          </w:tcPr>
          <w:p>
            <w:r/>
            <w:r>
              <w:rPr>
                <w:rFonts w:ascii="Arial" w:hAnsi="Arial"/>
                <w:b w:val="0"/>
                <w:sz w:val="16"/>
              </w:rPr>
              <w:t>FR-002</w:t>
            </w:r>
          </w:p>
        </w:tc>
        <w:tc>
          <w:tcPr>
            <w:tcW w:type="dxa" w:w="8928"/>
            <w:vAlign w:val="top"/>
          </w:tcPr>
          <w:p>
            <w:r/>
            <w:r>
              <w:rPr>
                <w:rFonts w:ascii="Arial" w:hAnsi="Arial"/>
                <w:b w:val="0"/>
                <w:sz w:val="16"/>
              </w:rPr>
              <w:t>Deploy Base ERC-20 $555 and NTT manager with 1:1 supply backing</w:t>
            </w:r>
          </w:p>
        </w:tc>
        <w:tc>
          <w:tcPr>
            <w:tcW w:type="dxa" w:w="1008"/>
            <w:vAlign w:val="top"/>
          </w:tcPr>
          <w:p>
            <w:r/>
            <w:r>
              <w:rPr>
                <w:rFonts w:ascii="Arial" w:hAnsi="Arial"/>
                <w:b w:val="0"/>
                <w:sz w:val="16"/>
              </w:rPr>
              <w:t>P0</w:t>
            </w:r>
          </w:p>
        </w:tc>
      </w:tr>
      <w:tr>
        <w:tc>
          <w:tcPr>
            <w:tcW w:type="dxa" w:w="1080"/>
            <w:vAlign w:val="top"/>
          </w:tcPr>
          <w:p>
            <w:r/>
            <w:r>
              <w:rPr>
                <w:rFonts w:ascii="Arial" w:hAnsi="Arial"/>
                <w:b w:val="0"/>
                <w:sz w:val="16"/>
              </w:rPr>
              <w:t>FR-003</w:t>
            </w:r>
          </w:p>
        </w:tc>
        <w:tc>
          <w:tcPr>
            <w:tcW w:type="dxa" w:w="8928"/>
            <w:vAlign w:val="top"/>
          </w:tcPr>
          <w:p>
            <w:r/>
            <w:r>
              <w:rPr>
                <w:rFonts w:ascii="Arial" w:hAnsi="Arial"/>
                <w:b w:val="0"/>
                <w:sz w:val="16"/>
              </w:rPr>
              <w:t>Maintain cross-chain supply ledger: Solana locked, EVM minted, EVM burned, Solana unlocked</w:t>
            </w:r>
          </w:p>
        </w:tc>
        <w:tc>
          <w:tcPr>
            <w:tcW w:type="dxa" w:w="1008"/>
            <w:vAlign w:val="top"/>
          </w:tcPr>
          <w:p>
            <w:r/>
            <w:r>
              <w:rPr>
                <w:rFonts w:ascii="Arial" w:hAnsi="Arial"/>
                <w:b w:val="0"/>
                <w:sz w:val="16"/>
              </w:rPr>
              <w:t>P0</w:t>
            </w:r>
          </w:p>
        </w:tc>
      </w:tr>
      <w:tr>
        <w:tc>
          <w:tcPr>
            <w:tcW w:type="dxa" w:w="1080"/>
            <w:vAlign w:val="top"/>
          </w:tcPr>
          <w:p>
            <w:r/>
            <w:r>
              <w:rPr>
                <w:rFonts w:ascii="Arial" w:hAnsi="Arial"/>
                <w:b w:val="0"/>
                <w:sz w:val="16"/>
              </w:rPr>
              <w:t>FR-004</w:t>
            </w:r>
          </w:p>
        </w:tc>
        <w:tc>
          <w:tcPr>
            <w:tcW w:type="dxa" w:w="8928"/>
            <w:vAlign w:val="top"/>
          </w:tcPr>
          <w:p>
            <w:r/>
            <w:r>
              <w:rPr>
                <w:rFonts w:ascii="Arial" w:hAnsi="Arial"/>
                <w:b w:val="0"/>
                <w:sz w:val="16"/>
              </w:rPr>
              <w:t>Create PoolRegistry for approved pools, caps, fee tiers, chain, status, route limits</w:t>
            </w:r>
          </w:p>
        </w:tc>
        <w:tc>
          <w:tcPr>
            <w:tcW w:type="dxa" w:w="1008"/>
            <w:vAlign w:val="top"/>
          </w:tcPr>
          <w:p>
            <w:r/>
            <w:r>
              <w:rPr>
                <w:rFonts w:ascii="Arial" w:hAnsi="Arial"/>
                <w:b w:val="0"/>
                <w:sz w:val="16"/>
              </w:rPr>
              <w:t>P0</w:t>
            </w:r>
          </w:p>
        </w:tc>
      </w:tr>
      <w:tr>
        <w:tc>
          <w:tcPr>
            <w:tcW w:type="dxa" w:w="1080"/>
            <w:vAlign w:val="top"/>
          </w:tcPr>
          <w:p>
            <w:r/>
            <w:r>
              <w:rPr>
                <w:rFonts w:ascii="Arial" w:hAnsi="Arial"/>
                <w:b w:val="0"/>
                <w:sz w:val="16"/>
              </w:rPr>
              <w:t>FR-005</w:t>
            </w:r>
          </w:p>
        </w:tc>
        <w:tc>
          <w:tcPr>
            <w:tcW w:type="dxa" w:w="8928"/>
            <w:vAlign w:val="top"/>
          </w:tcPr>
          <w:p>
            <w:r/>
            <w:r>
              <w:rPr>
                <w:rFonts w:ascii="Arial" w:hAnsi="Arial"/>
                <w:b w:val="0"/>
                <w:sz w:val="16"/>
              </w:rPr>
              <w:t>Implement SW4P route scoring with best-execution and slippage guardrails</w:t>
            </w:r>
          </w:p>
        </w:tc>
        <w:tc>
          <w:tcPr>
            <w:tcW w:type="dxa" w:w="1008"/>
            <w:vAlign w:val="top"/>
          </w:tcPr>
          <w:p>
            <w:r/>
            <w:r>
              <w:rPr>
                <w:rFonts w:ascii="Arial" w:hAnsi="Arial"/>
                <w:b w:val="0"/>
                <w:sz w:val="16"/>
              </w:rPr>
              <w:t>P0</w:t>
            </w:r>
          </w:p>
        </w:tc>
      </w:tr>
      <w:tr>
        <w:tc>
          <w:tcPr>
            <w:tcW w:type="dxa" w:w="1080"/>
            <w:vAlign w:val="top"/>
          </w:tcPr>
          <w:p>
            <w:r/>
            <w:r>
              <w:rPr>
                <w:rFonts w:ascii="Arial" w:hAnsi="Arial"/>
                <w:b w:val="0"/>
                <w:sz w:val="16"/>
              </w:rPr>
              <w:t>FR-006</w:t>
            </w:r>
          </w:p>
        </w:tc>
        <w:tc>
          <w:tcPr>
            <w:tcW w:type="dxa" w:w="8928"/>
            <w:vAlign w:val="top"/>
          </w:tcPr>
          <w:p>
            <w:r/>
            <w:r>
              <w:rPr>
                <w:rFonts w:ascii="Arial" w:hAnsi="Arial"/>
                <w:b w:val="0"/>
                <w:sz w:val="16"/>
              </w:rPr>
              <w:t>Implement Global 555 Lock with lock multipliers and cooldowns</w:t>
            </w:r>
          </w:p>
        </w:tc>
        <w:tc>
          <w:tcPr>
            <w:tcW w:type="dxa" w:w="1008"/>
            <w:vAlign w:val="top"/>
          </w:tcPr>
          <w:p>
            <w:r/>
            <w:r>
              <w:rPr>
                <w:rFonts w:ascii="Arial" w:hAnsi="Arial"/>
                <w:b w:val="0"/>
                <w:sz w:val="16"/>
              </w:rPr>
              <w:t>P0</w:t>
            </w:r>
          </w:p>
        </w:tc>
      </w:tr>
      <w:tr>
        <w:tc>
          <w:tcPr>
            <w:tcW w:type="dxa" w:w="1080"/>
            <w:vAlign w:val="top"/>
          </w:tcPr>
          <w:p>
            <w:r/>
            <w:r>
              <w:rPr>
                <w:rFonts w:ascii="Arial" w:hAnsi="Arial"/>
                <w:b w:val="0"/>
                <w:sz w:val="16"/>
              </w:rPr>
              <w:t>FR-007</w:t>
            </w:r>
          </w:p>
        </w:tc>
        <w:tc>
          <w:tcPr>
            <w:tcW w:type="dxa" w:w="8928"/>
            <w:vAlign w:val="top"/>
          </w:tcPr>
          <w:p>
            <w:r/>
            <w:r>
              <w:rPr>
                <w:rFonts w:ascii="Arial" w:hAnsi="Arial"/>
                <w:b w:val="0"/>
                <w:sz w:val="16"/>
              </w:rPr>
              <w:t>Implement LP Vault for two-sided 555 + USDC/ETH liquidity</w:t>
            </w:r>
          </w:p>
        </w:tc>
        <w:tc>
          <w:tcPr>
            <w:tcW w:type="dxa" w:w="1008"/>
            <w:vAlign w:val="top"/>
          </w:tcPr>
          <w:p>
            <w:r/>
            <w:r>
              <w:rPr>
                <w:rFonts w:ascii="Arial" w:hAnsi="Arial"/>
                <w:b w:val="0"/>
                <w:sz w:val="16"/>
              </w:rPr>
              <w:t>P0</w:t>
            </w:r>
          </w:p>
        </w:tc>
      </w:tr>
      <w:tr>
        <w:tc>
          <w:tcPr>
            <w:tcW w:type="dxa" w:w="1080"/>
            <w:vAlign w:val="top"/>
          </w:tcPr>
          <w:p>
            <w:r/>
            <w:r>
              <w:rPr>
                <w:rFonts w:ascii="Arial" w:hAnsi="Arial"/>
                <w:b w:val="0"/>
                <w:sz w:val="16"/>
              </w:rPr>
              <w:t>FR-008</w:t>
            </w:r>
          </w:p>
        </w:tc>
        <w:tc>
          <w:tcPr>
            <w:tcW w:type="dxa" w:w="8928"/>
            <w:vAlign w:val="top"/>
          </w:tcPr>
          <w:p>
            <w:r/>
            <w:r>
              <w:rPr>
                <w:rFonts w:ascii="Arial" w:hAnsi="Arial"/>
                <w:b w:val="0"/>
                <w:sz w:val="16"/>
              </w:rPr>
              <w:t>Implement Protocol-Owned Liquidity Vault</w:t>
            </w:r>
          </w:p>
        </w:tc>
        <w:tc>
          <w:tcPr>
            <w:tcW w:type="dxa" w:w="1008"/>
            <w:vAlign w:val="top"/>
          </w:tcPr>
          <w:p>
            <w:r/>
            <w:r>
              <w:rPr>
                <w:rFonts w:ascii="Arial" w:hAnsi="Arial"/>
                <w:b w:val="0"/>
                <w:sz w:val="16"/>
              </w:rPr>
              <w:t>P0</w:t>
            </w:r>
          </w:p>
        </w:tc>
      </w:tr>
      <w:tr>
        <w:tc>
          <w:tcPr>
            <w:tcW w:type="dxa" w:w="1080"/>
            <w:vAlign w:val="top"/>
          </w:tcPr>
          <w:p>
            <w:r/>
            <w:r>
              <w:rPr>
                <w:rFonts w:ascii="Arial" w:hAnsi="Arial"/>
                <w:b w:val="0"/>
                <w:sz w:val="16"/>
              </w:rPr>
              <w:t>FR-009</w:t>
            </w:r>
          </w:p>
        </w:tc>
        <w:tc>
          <w:tcPr>
            <w:tcW w:type="dxa" w:w="8928"/>
            <w:vAlign w:val="top"/>
          </w:tcPr>
          <w:p>
            <w:r/>
            <w:r>
              <w:rPr>
                <w:rFonts w:ascii="Arial" w:hAnsi="Arial"/>
                <w:b w:val="0"/>
                <w:sz w:val="16"/>
              </w:rPr>
              <w:t>Implement fee harvester for DEX LP fees and SW4P fee events</w:t>
            </w:r>
          </w:p>
        </w:tc>
        <w:tc>
          <w:tcPr>
            <w:tcW w:type="dxa" w:w="1008"/>
            <w:vAlign w:val="top"/>
          </w:tcPr>
          <w:p>
            <w:r/>
            <w:r>
              <w:rPr>
                <w:rFonts w:ascii="Arial" w:hAnsi="Arial"/>
                <w:b w:val="0"/>
                <w:sz w:val="16"/>
              </w:rPr>
              <w:t>P0</w:t>
            </w:r>
          </w:p>
        </w:tc>
      </w:tr>
      <w:tr>
        <w:tc>
          <w:tcPr>
            <w:tcW w:type="dxa" w:w="1080"/>
            <w:vAlign w:val="top"/>
          </w:tcPr>
          <w:p>
            <w:r/>
            <w:r>
              <w:rPr>
                <w:rFonts w:ascii="Arial" w:hAnsi="Arial"/>
                <w:b w:val="0"/>
                <w:sz w:val="16"/>
              </w:rPr>
              <w:t>FR-010</w:t>
            </w:r>
          </w:p>
        </w:tc>
        <w:tc>
          <w:tcPr>
            <w:tcW w:type="dxa" w:w="8928"/>
            <w:vAlign w:val="top"/>
          </w:tcPr>
          <w:p>
            <w:r/>
            <w:r>
              <w:rPr>
                <w:rFonts w:ascii="Arial" w:hAnsi="Arial"/>
                <w:b w:val="0"/>
                <w:sz w:val="16"/>
              </w:rPr>
              <w:t>Implement Pump creator fee ingest/accounting bucket</w:t>
            </w:r>
          </w:p>
        </w:tc>
        <w:tc>
          <w:tcPr>
            <w:tcW w:type="dxa" w:w="1008"/>
            <w:vAlign w:val="top"/>
          </w:tcPr>
          <w:p>
            <w:r/>
            <w:r>
              <w:rPr>
                <w:rFonts w:ascii="Arial" w:hAnsi="Arial"/>
                <w:b w:val="0"/>
                <w:sz w:val="16"/>
              </w:rPr>
              <w:t>P0</w:t>
            </w:r>
          </w:p>
        </w:tc>
      </w:tr>
      <w:tr>
        <w:tc>
          <w:tcPr>
            <w:tcW w:type="dxa" w:w="1080"/>
            <w:vAlign w:val="top"/>
          </w:tcPr>
          <w:p>
            <w:r/>
            <w:r>
              <w:rPr>
                <w:rFonts w:ascii="Arial" w:hAnsi="Arial"/>
                <w:b w:val="0"/>
                <w:sz w:val="16"/>
              </w:rPr>
              <w:t>FR-011</w:t>
            </w:r>
          </w:p>
        </w:tc>
        <w:tc>
          <w:tcPr>
            <w:tcW w:type="dxa" w:w="8928"/>
            <w:vAlign w:val="top"/>
          </w:tcPr>
          <w:p>
            <w:r/>
            <w:r>
              <w:rPr>
                <w:rFonts w:ascii="Arial" w:hAnsi="Arial"/>
                <w:b w:val="0"/>
                <w:sz w:val="16"/>
              </w:rPr>
              <w:t>Implement RewardsDistributor with real-fee and incentive APY separation</w:t>
            </w:r>
          </w:p>
        </w:tc>
        <w:tc>
          <w:tcPr>
            <w:tcW w:type="dxa" w:w="1008"/>
            <w:vAlign w:val="top"/>
          </w:tcPr>
          <w:p>
            <w:r/>
            <w:r>
              <w:rPr>
                <w:rFonts w:ascii="Arial" w:hAnsi="Arial"/>
                <w:b w:val="0"/>
                <w:sz w:val="16"/>
              </w:rPr>
              <w:t>P0</w:t>
            </w:r>
          </w:p>
        </w:tc>
      </w:tr>
      <w:tr>
        <w:tc>
          <w:tcPr>
            <w:tcW w:type="dxa" w:w="1080"/>
            <w:vAlign w:val="top"/>
          </w:tcPr>
          <w:p>
            <w:r/>
            <w:r>
              <w:rPr>
                <w:rFonts w:ascii="Arial" w:hAnsi="Arial"/>
                <w:b w:val="0"/>
                <w:sz w:val="16"/>
              </w:rPr>
              <w:t>FR-012</w:t>
            </w:r>
          </w:p>
        </w:tc>
        <w:tc>
          <w:tcPr>
            <w:tcW w:type="dxa" w:w="8928"/>
            <w:vAlign w:val="top"/>
          </w:tcPr>
          <w:p>
            <w:r/>
            <w:r>
              <w:rPr>
                <w:rFonts w:ascii="Arial" w:hAnsi="Arial"/>
                <w:b w:val="0"/>
                <w:sz w:val="16"/>
              </w:rPr>
              <w:t>Implement public proof dashboard</w:t>
            </w:r>
          </w:p>
        </w:tc>
        <w:tc>
          <w:tcPr>
            <w:tcW w:type="dxa" w:w="1008"/>
            <w:vAlign w:val="top"/>
          </w:tcPr>
          <w:p>
            <w:r/>
            <w:r>
              <w:rPr>
                <w:rFonts w:ascii="Arial" w:hAnsi="Arial"/>
                <w:b w:val="0"/>
                <w:sz w:val="16"/>
              </w:rPr>
              <w:t>P0</w:t>
            </w:r>
          </w:p>
        </w:tc>
      </w:tr>
      <w:tr>
        <w:tc>
          <w:tcPr>
            <w:tcW w:type="dxa" w:w="1080"/>
            <w:vAlign w:val="top"/>
          </w:tcPr>
          <w:p>
            <w:r/>
            <w:r>
              <w:rPr>
                <w:rFonts w:ascii="Arial" w:hAnsi="Arial"/>
                <w:b w:val="0"/>
                <w:sz w:val="16"/>
              </w:rPr>
              <w:t>FR-013</w:t>
            </w:r>
          </w:p>
        </w:tc>
        <w:tc>
          <w:tcPr>
            <w:tcW w:type="dxa" w:w="8928"/>
            <w:vAlign w:val="top"/>
          </w:tcPr>
          <w:p>
            <w:r/>
            <w:r>
              <w:rPr>
                <w:rFonts w:ascii="Arial" w:hAnsi="Arial"/>
                <w:b w:val="0"/>
                <w:sz w:val="16"/>
              </w:rPr>
              <w:t>Implement Matched 555 Vault</w:t>
            </w:r>
          </w:p>
        </w:tc>
        <w:tc>
          <w:tcPr>
            <w:tcW w:type="dxa" w:w="1008"/>
            <w:vAlign w:val="top"/>
          </w:tcPr>
          <w:p>
            <w:r/>
            <w:r>
              <w:rPr>
                <w:rFonts w:ascii="Arial" w:hAnsi="Arial"/>
                <w:b w:val="0"/>
                <w:sz w:val="16"/>
              </w:rPr>
              <w:t>P1</w:t>
            </w:r>
          </w:p>
        </w:tc>
      </w:tr>
      <w:tr>
        <w:tc>
          <w:tcPr>
            <w:tcW w:type="dxa" w:w="1080"/>
            <w:vAlign w:val="top"/>
          </w:tcPr>
          <w:p>
            <w:r/>
            <w:r>
              <w:rPr>
                <w:rFonts w:ascii="Arial" w:hAnsi="Arial"/>
                <w:b w:val="0"/>
                <w:sz w:val="16"/>
              </w:rPr>
              <w:t>FR-014</w:t>
            </w:r>
          </w:p>
        </w:tc>
        <w:tc>
          <w:tcPr>
            <w:tcW w:type="dxa" w:w="8928"/>
            <w:vAlign w:val="top"/>
          </w:tcPr>
          <w:p>
            <w:r/>
            <w:r>
              <w:rPr>
                <w:rFonts w:ascii="Arial" w:hAnsi="Arial"/>
                <w:b w:val="0"/>
                <w:sz w:val="16"/>
              </w:rPr>
              <w:t>Implement Arbitrum pool/vault after Base criteria</w:t>
            </w:r>
          </w:p>
        </w:tc>
        <w:tc>
          <w:tcPr>
            <w:tcW w:type="dxa" w:w="1008"/>
            <w:vAlign w:val="top"/>
          </w:tcPr>
          <w:p>
            <w:r/>
            <w:r>
              <w:rPr>
                <w:rFonts w:ascii="Arial" w:hAnsi="Arial"/>
                <w:b w:val="0"/>
                <w:sz w:val="16"/>
              </w:rPr>
              <w:t>P1</w:t>
            </w:r>
          </w:p>
        </w:tc>
      </w:tr>
      <w:tr>
        <w:tc>
          <w:tcPr>
            <w:tcW w:type="dxa" w:w="1080"/>
            <w:vAlign w:val="top"/>
          </w:tcPr>
          <w:p>
            <w:r/>
            <w:r>
              <w:rPr>
                <w:rFonts w:ascii="Arial" w:hAnsi="Arial"/>
                <w:b w:val="0"/>
                <w:sz w:val="16"/>
              </w:rPr>
              <w:t>FR-015</w:t>
            </w:r>
          </w:p>
        </w:tc>
        <w:tc>
          <w:tcPr>
            <w:tcW w:type="dxa" w:w="8928"/>
            <w:vAlign w:val="top"/>
          </w:tcPr>
          <w:p>
            <w:r/>
            <w:r>
              <w:rPr>
                <w:rFonts w:ascii="Arial" w:hAnsi="Arial"/>
                <w:b w:val="0"/>
                <w:sz w:val="16"/>
              </w:rPr>
              <w:t>Implement market-maker vault and reporting</w:t>
            </w:r>
          </w:p>
        </w:tc>
        <w:tc>
          <w:tcPr>
            <w:tcW w:type="dxa" w:w="1008"/>
            <w:vAlign w:val="top"/>
          </w:tcPr>
          <w:p>
            <w:r/>
            <w:r>
              <w:rPr>
                <w:rFonts w:ascii="Arial" w:hAnsi="Arial"/>
                <w:b w:val="0"/>
                <w:sz w:val="16"/>
              </w:rPr>
              <w:t>P2</w:t>
            </w:r>
          </w:p>
        </w:tc>
      </w:tr>
    </w:tbl>
    <w:p/>
    <w:p>
      <w:pPr>
        <w:pStyle w:val="Heading2"/>
      </w:pPr>
      <w:r>
        <w:rPr>
          <w:b w:val="0"/>
        </w:rPr>
        <w:t>Components</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111827"/>
            <w:vAlign w:val="top"/>
          </w:tcPr>
          <w:p>
            <w:r/>
            <w:r>
              <w:rPr>
                <w:rFonts w:ascii="Arial" w:hAnsi="Arial"/>
                <w:b/>
                <w:color w:val="FFFFFF"/>
                <w:sz w:val="16"/>
              </w:rPr>
              <w:t>Component</w:t>
            </w:r>
          </w:p>
        </w:tc>
        <w:tc>
          <w:tcPr>
            <w:tcW w:type="dxa" w:w="2016"/>
            <w:shd w:fill="111827"/>
            <w:vAlign w:val="top"/>
          </w:tcPr>
          <w:p>
            <w:r/>
            <w:r>
              <w:rPr>
                <w:rFonts w:ascii="Arial" w:hAnsi="Arial"/>
                <w:b/>
                <w:color w:val="FFFFFF"/>
                <w:sz w:val="16"/>
              </w:rPr>
              <w:t>Layer</w:t>
            </w:r>
          </w:p>
        </w:tc>
        <w:tc>
          <w:tcPr>
            <w:tcW w:type="dxa" w:w="6912"/>
            <w:shd w:fill="111827"/>
            <w:vAlign w:val="top"/>
          </w:tcPr>
          <w:p>
            <w:r/>
            <w:r>
              <w:rPr>
                <w:rFonts w:ascii="Arial" w:hAnsi="Arial"/>
                <w:b/>
                <w:color w:val="FFFFFF"/>
                <w:sz w:val="16"/>
              </w:rPr>
              <w:t>Purpose</w:t>
            </w:r>
          </w:p>
        </w:tc>
      </w:tr>
      <w:tr>
        <w:tc>
          <w:tcPr>
            <w:tcW w:type="dxa" w:w="2592"/>
            <w:vAlign w:val="top"/>
          </w:tcPr>
          <w:p>
            <w:r/>
            <w:r>
              <w:rPr>
                <w:rFonts w:ascii="Arial" w:hAnsi="Arial"/>
                <w:b w:val="0"/>
                <w:sz w:val="16"/>
              </w:rPr>
              <w:t>EVM555Token</w:t>
            </w:r>
          </w:p>
        </w:tc>
        <w:tc>
          <w:tcPr>
            <w:tcW w:type="dxa" w:w="2016"/>
            <w:vAlign w:val="top"/>
          </w:tcPr>
          <w:p>
            <w:r/>
            <w:r>
              <w:rPr>
                <w:rFonts w:ascii="Arial" w:hAnsi="Arial"/>
                <w:b w:val="0"/>
                <w:sz w:val="16"/>
              </w:rPr>
              <w:t>Base contract</w:t>
            </w:r>
          </w:p>
        </w:tc>
        <w:tc>
          <w:tcPr>
            <w:tcW w:type="dxa" w:w="6912"/>
            <w:vAlign w:val="top"/>
          </w:tcPr>
          <w:p>
            <w:r/>
            <w:r>
              <w:rPr>
                <w:rFonts w:ascii="Arial" w:hAnsi="Arial"/>
                <w:b w:val="0"/>
                <w:sz w:val="16"/>
              </w:rPr>
              <w:t>ERC-20 $555, mint/burn restricted to NTT Manager</w:t>
            </w:r>
          </w:p>
        </w:tc>
      </w:tr>
      <w:tr>
        <w:tc>
          <w:tcPr>
            <w:tcW w:type="dxa" w:w="2592"/>
            <w:vAlign w:val="top"/>
          </w:tcPr>
          <w:p>
            <w:r/>
            <w:r>
              <w:rPr>
                <w:rFonts w:ascii="Arial" w:hAnsi="Arial"/>
                <w:b w:val="0"/>
                <w:sz w:val="16"/>
              </w:rPr>
              <w:t>NttManager</w:t>
            </w:r>
          </w:p>
        </w:tc>
        <w:tc>
          <w:tcPr>
            <w:tcW w:type="dxa" w:w="2016"/>
            <w:vAlign w:val="top"/>
          </w:tcPr>
          <w:p>
            <w:r/>
            <w:r>
              <w:rPr>
                <w:rFonts w:ascii="Arial" w:hAnsi="Arial"/>
                <w:b w:val="0"/>
                <w:sz w:val="16"/>
              </w:rPr>
              <w:t>Cross-chain</w:t>
            </w:r>
          </w:p>
        </w:tc>
        <w:tc>
          <w:tcPr>
            <w:tcW w:type="dxa" w:w="6912"/>
            <w:vAlign w:val="top"/>
          </w:tcPr>
          <w:p>
            <w:r/>
            <w:r>
              <w:rPr>
                <w:rFonts w:ascii="Arial" w:hAnsi="Arial"/>
                <w:b w:val="0"/>
                <w:sz w:val="16"/>
              </w:rPr>
              <w:t>NTT supply movement and rate limits</w:t>
            </w:r>
          </w:p>
        </w:tc>
      </w:tr>
      <w:tr>
        <w:tc>
          <w:tcPr>
            <w:tcW w:type="dxa" w:w="2592"/>
            <w:vAlign w:val="top"/>
          </w:tcPr>
          <w:p>
            <w:r/>
            <w:r>
              <w:rPr>
                <w:rFonts w:ascii="Arial" w:hAnsi="Arial"/>
                <w:b w:val="0"/>
                <w:sz w:val="16"/>
              </w:rPr>
              <w:t>PoolRegistry</w:t>
            </w:r>
          </w:p>
        </w:tc>
        <w:tc>
          <w:tcPr>
            <w:tcW w:type="dxa" w:w="2016"/>
            <w:vAlign w:val="top"/>
          </w:tcPr>
          <w:p>
            <w:r/>
            <w:r>
              <w:rPr>
                <w:rFonts w:ascii="Arial" w:hAnsi="Arial"/>
                <w:b w:val="0"/>
                <w:sz w:val="16"/>
              </w:rPr>
              <w:t>Contract/API</w:t>
            </w:r>
          </w:p>
        </w:tc>
        <w:tc>
          <w:tcPr>
            <w:tcW w:type="dxa" w:w="6912"/>
            <w:vAlign w:val="top"/>
          </w:tcPr>
          <w:p>
            <w:r/>
            <w:r>
              <w:rPr>
                <w:rFonts w:ascii="Arial" w:hAnsi="Arial"/>
                <w:b w:val="0"/>
                <w:sz w:val="16"/>
              </w:rPr>
              <w:t>Approved pools, route caps, fee tiers, statuses</w:t>
            </w:r>
          </w:p>
        </w:tc>
      </w:tr>
      <w:tr>
        <w:tc>
          <w:tcPr>
            <w:tcW w:type="dxa" w:w="2592"/>
            <w:vAlign w:val="top"/>
          </w:tcPr>
          <w:p>
            <w:r/>
            <w:r>
              <w:rPr>
                <w:rFonts w:ascii="Arial" w:hAnsi="Arial"/>
                <w:b w:val="0"/>
                <w:sz w:val="16"/>
              </w:rPr>
              <w:t>GlobalStakeVault</w:t>
            </w:r>
          </w:p>
        </w:tc>
        <w:tc>
          <w:tcPr>
            <w:tcW w:type="dxa" w:w="2016"/>
            <w:vAlign w:val="top"/>
          </w:tcPr>
          <w:p>
            <w:r/>
            <w:r>
              <w:rPr>
                <w:rFonts w:ascii="Arial" w:hAnsi="Arial"/>
                <w:b w:val="0"/>
                <w:sz w:val="16"/>
              </w:rPr>
              <w:t>Contract</w:t>
            </w:r>
          </w:p>
        </w:tc>
        <w:tc>
          <w:tcPr>
            <w:tcW w:type="dxa" w:w="6912"/>
            <w:vAlign w:val="top"/>
          </w:tcPr>
          <w:p>
            <w:r/>
            <w:r>
              <w:rPr>
                <w:rFonts w:ascii="Arial" w:hAnsi="Arial"/>
                <w:b w:val="0"/>
                <w:sz w:val="16"/>
              </w:rPr>
              <w:t>555 locks, multipliers, cooldowns</w:t>
            </w:r>
          </w:p>
        </w:tc>
      </w:tr>
      <w:tr>
        <w:tc>
          <w:tcPr>
            <w:tcW w:type="dxa" w:w="2592"/>
            <w:vAlign w:val="top"/>
          </w:tcPr>
          <w:p>
            <w:r/>
            <w:r>
              <w:rPr>
                <w:rFonts w:ascii="Arial" w:hAnsi="Arial"/>
                <w:b w:val="0"/>
                <w:sz w:val="16"/>
              </w:rPr>
              <w:t>LPVault</w:t>
            </w:r>
          </w:p>
        </w:tc>
        <w:tc>
          <w:tcPr>
            <w:tcW w:type="dxa" w:w="2016"/>
            <w:vAlign w:val="top"/>
          </w:tcPr>
          <w:p>
            <w:r/>
            <w:r>
              <w:rPr>
                <w:rFonts w:ascii="Arial" w:hAnsi="Arial"/>
                <w:b w:val="0"/>
                <w:sz w:val="16"/>
              </w:rPr>
              <w:t>Contract</w:t>
            </w:r>
          </w:p>
        </w:tc>
        <w:tc>
          <w:tcPr>
            <w:tcW w:type="dxa" w:w="6912"/>
            <w:vAlign w:val="top"/>
          </w:tcPr>
          <w:p>
            <w:r/>
            <w:r>
              <w:rPr>
                <w:rFonts w:ascii="Arial" w:hAnsi="Arial"/>
                <w:b w:val="0"/>
                <w:sz w:val="16"/>
              </w:rPr>
              <w:t>Two-sided LP deposits and share accounting</w:t>
            </w:r>
          </w:p>
        </w:tc>
      </w:tr>
      <w:tr>
        <w:tc>
          <w:tcPr>
            <w:tcW w:type="dxa" w:w="2592"/>
            <w:vAlign w:val="top"/>
          </w:tcPr>
          <w:p>
            <w:r/>
            <w:r>
              <w:rPr>
                <w:rFonts w:ascii="Arial" w:hAnsi="Arial"/>
                <w:b w:val="0"/>
                <w:sz w:val="16"/>
              </w:rPr>
              <w:t>ProtocolOwnedLiquidityVault</w:t>
            </w:r>
          </w:p>
        </w:tc>
        <w:tc>
          <w:tcPr>
            <w:tcW w:type="dxa" w:w="2016"/>
            <w:vAlign w:val="top"/>
          </w:tcPr>
          <w:p>
            <w:r/>
            <w:r>
              <w:rPr>
                <w:rFonts w:ascii="Arial" w:hAnsi="Arial"/>
                <w:b w:val="0"/>
                <w:sz w:val="16"/>
              </w:rPr>
              <w:t>Contract</w:t>
            </w:r>
          </w:p>
        </w:tc>
        <w:tc>
          <w:tcPr>
            <w:tcW w:type="dxa" w:w="6912"/>
            <w:vAlign w:val="top"/>
          </w:tcPr>
          <w:p>
            <w:r/>
            <w:r>
              <w:rPr>
                <w:rFonts w:ascii="Arial" w:hAnsi="Arial"/>
                <w:b w:val="0"/>
                <w:sz w:val="16"/>
              </w:rPr>
              <w:t>Protocol-owned LP positions</w:t>
            </w:r>
          </w:p>
        </w:tc>
      </w:tr>
      <w:tr>
        <w:tc>
          <w:tcPr>
            <w:tcW w:type="dxa" w:w="2592"/>
            <w:vAlign w:val="top"/>
          </w:tcPr>
          <w:p>
            <w:r/>
            <w:r>
              <w:rPr>
                <w:rFonts w:ascii="Arial" w:hAnsi="Arial"/>
                <w:b w:val="0"/>
                <w:sz w:val="16"/>
              </w:rPr>
              <w:t>RewardsDistributor</w:t>
            </w:r>
          </w:p>
        </w:tc>
        <w:tc>
          <w:tcPr>
            <w:tcW w:type="dxa" w:w="2016"/>
            <w:vAlign w:val="top"/>
          </w:tcPr>
          <w:p>
            <w:r/>
            <w:r>
              <w:rPr>
                <w:rFonts w:ascii="Arial" w:hAnsi="Arial"/>
                <w:b w:val="0"/>
                <w:sz w:val="16"/>
              </w:rPr>
              <w:t>Contract/service</w:t>
            </w:r>
          </w:p>
        </w:tc>
        <w:tc>
          <w:tcPr>
            <w:tcW w:type="dxa" w:w="6912"/>
            <w:vAlign w:val="top"/>
          </w:tcPr>
          <w:p>
            <w:r/>
            <w:r>
              <w:rPr>
                <w:rFonts w:ascii="Arial" w:hAnsi="Arial"/>
                <w:b w:val="0"/>
                <w:sz w:val="16"/>
              </w:rPr>
              <w:t>Epoch rewards and claims</w:t>
            </w:r>
          </w:p>
        </w:tc>
      </w:tr>
      <w:tr>
        <w:tc>
          <w:tcPr>
            <w:tcW w:type="dxa" w:w="2592"/>
            <w:vAlign w:val="top"/>
          </w:tcPr>
          <w:p>
            <w:r/>
            <w:r>
              <w:rPr>
                <w:rFonts w:ascii="Arial" w:hAnsi="Arial"/>
                <w:b w:val="0"/>
                <w:sz w:val="16"/>
              </w:rPr>
              <w:t>SW4P Quote Engine</w:t>
            </w:r>
          </w:p>
        </w:tc>
        <w:tc>
          <w:tcPr>
            <w:tcW w:type="dxa" w:w="2016"/>
            <w:vAlign w:val="top"/>
          </w:tcPr>
          <w:p>
            <w:r/>
            <w:r>
              <w:rPr>
                <w:rFonts w:ascii="Arial" w:hAnsi="Arial"/>
                <w:b w:val="0"/>
                <w:sz w:val="16"/>
              </w:rPr>
              <w:t>Backend</w:t>
            </w:r>
          </w:p>
        </w:tc>
        <w:tc>
          <w:tcPr>
            <w:tcW w:type="dxa" w:w="6912"/>
            <w:vAlign w:val="top"/>
          </w:tcPr>
          <w:p>
            <w:r/>
            <w:r>
              <w:rPr>
                <w:rFonts w:ascii="Arial" w:hAnsi="Arial"/>
                <w:b w:val="0"/>
                <w:sz w:val="16"/>
              </w:rPr>
              <w:t>Route selection and best-execution enforcement</w:t>
            </w:r>
          </w:p>
        </w:tc>
      </w:tr>
      <w:tr>
        <w:tc>
          <w:tcPr>
            <w:tcW w:type="dxa" w:w="2592"/>
            <w:vAlign w:val="top"/>
          </w:tcPr>
          <w:p>
            <w:r/>
            <w:r>
              <w:rPr>
                <w:rFonts w:ascii="Arial" w:hAnsi="Arial"/>
                <w:b w:val="0"/>
                <w:sz w:val="16"/>
              </w:rPr>
              <w:t>Fee Event Ledger</w:t>
            </w:r>
          </w:p>
        </w:tc>
        <w:tc>
          <w:tcPr>
            <w:tcW w:type="dxa" w:w="2016"/>
            <w:vAlign w:val="top"/>
          </w:tcPr>
          <w:p>
            <w:r/>
            <w:r>
              <w:rPr>
                <w:rFonts w:ascii="Arial" w:hAnsi="Arial"/>
                <w:b w:val="0"/>
                <w:sz w:val="16"/>
              </w:rPr>
              <w:t>Backend/data</w:t>
            </w:r>
          </w:p>
        </w:tc>
        <w:tc>
          <w:tcPr>
            <w:tcW w:type="dxa" w:w="6912"/>
            <w:vAlign w:val="top"/>
          </w:tcPr>
          <w:p>
            <w:r/>
            <w:r>
              <w:rPr>
                <w:rFonts w:ascii="Arial" w:hAnsi="Arial"/>
                <w:b w:val="0"/>
                <w:sz w:val="16"/>
              </w:rPr>
              <w:t>DEX, SW4P, Pump, product revenue source accounting</w:t>
            </w:r>
          </w:p>
        </w:tc>
      </w:tr>
      <w:tr>
        <w:tc>
          <w:tcPr>
            <w:tcW w:type="dxa" w:w="2592"/>
            <w:vAlign w:val="top"/>
          </w:tcPr>
          <w:p>
            <w:r/>
            <w:r>
              <w:rPr>
                <w:rFonts w:ascii="Arial" w:hAnsi="Arial"/>
                <w:b w:val="0"/>
                <w:sz w:val="16"/>
              </w:rPr>
              <w:t>Dashboard API</w:t>
            </w:r>
          </w:p>
        </w:tc>
        <w:tc>
          <w:tcPr>
            <w:tcW w:type="dxa" w:w="2016"/>
            <w:vAlign w:val="top"/>
          </w:tcPr>
          <w:p>
            <w:r/>
            <w:r>
              <w:rPr>
                <w:rFonts w:ascii="Arial" w:hAnsi="Arial"/>
                <w:b w:val="0"/>
                <w:sz w:val="16"/>
              </w:rPr>
              <w:t>Backend</w:t>
            </w:r>
          </w:p>
        </w:tc>
        <w:tc>
          <w:tcPr>
            <w:tcW w:type="dxa" w:w="6912"/>
            <w:vAlign w:val="top"/>
          </w:tcPr>
          <w:p>
            <w:r/>
            <w:r>
              <w:rPr>
                <w:rFonts w:ascii="Arial" w:hAnsi="Arial"/>
                <w:b w:val="0"/>
                <w:sz w:val="16"/>
              </w:rPr>
              <w:t>Public metrics and proof layer</w:t>
            </w:r>
          </w:p>
        </w:tc>
      </w:tr>
      <w:tr>
        <w:tc>
          <w:tcPr>
            <w:tcW w:type="dxa" w:w="2592"/>
            <w:vAlign w:val="top"/>
          </w:tcPr>
          <w:p>
            <w:r/>
            <w:r>
              <w:rPr>
                <w:rFonts w:ascii="Arial" w:hAnsi="Arial"/>
                <w:b w:val="0"/>
                <w:sz w:val="16"/>
              </w:rPr>
              <w:t>Risk/Antiwash Engine</w:t>
            </w:r>
          </w:p>
        </w:tc>
        <w:tc>
          <w:tcPr>
            <w:tcW w:type="dxa" w:w="2016"/>
            <w:vAlign w:val="top"/>
          </w:tcPr>
          <w:p>
            <w:r/>
            <w:r>
              <w:rPr>
                <w:rFonts w:ascii="Arial" w:hAnsi="Arial"/>
                <w:b w:val="0"/>
                <w:sz w:val="16"/>
              </w:rPr>
              <w:t>Backend</w:t>
            </w:r>
          </w:p>
        </w:tc>
        <w:tc>
          <w:tcPr>
            <w:tcW w:type="dxa" w:w="6912"/>
            <w:vAlign w:val="top"/>
          </w:tcPr>
          <w:p>
            <w:r/>
            <w:r>
              <w:rPr>
                <w:rFonts w:ascii="Arial" w:hAnsi="Arial"/>
                <w:b w:val="0"/>
                <w:sz w:val="16"/>
              </w:rPr>
              <w:t>Exclude fake/suspicious reward volume</w:t>
            </w:r>
          </w:p>
        </w:tc>
      </w:tr>
    </w:tbl>
    <w:p/>
    <w:p>
      <w:pPr>
        <w:pStyle w:val="Heading2"/>
      </w:pPr>
      <w:r>
        <w:rPr>
          <w:b w:val="0"/>
        </w:rPr>
        <w:t>Route Guardrails</w:t>
      </w:r>
    </w:p>
    <w:tbl>
      <w:tblPr>
        <w:tblStyle w:val="TableGrid"/>
        <w:tblW w:type="auto" w:w="0"/>
        <w:jc w:val="center"/>
        <w:tblLook w:firstColumn="1" w:firstRow="1" w:lastColumn="0" w:lastRow="0" w:noHBand="0" w:noVBand="1" w:val="04A0"/>
      </w:tblPr>
      <w:tblGrid>
        <w:gridCol w:w="5184"/>
        <w:gridCol w:w="5184"/>
      </w:tblGrid>
      <w:tr>
        <w:tc>
          <w:tcPr>
            <w:tcW w:type="dxa" w:w="4608"/>
            <w:shd w:fill="111827"/>
            <w:vAlign w:val="top"/>
          </w:tcPr>
          <w:p>
            <w:r/>
            <w:r>
              <w:rPr>
                <w:rFonts w:ascii="Arial" w:hAnsi="Arial"/>
                <w:b/>
                <w:color w:val="FFFFFF"/>
                <w:sz w:val="16"/>
              </w:rPr>
              <w:t>Guardrail</w:t>
            </w:r>
          </w:p>
        </w:tc>
        <w:tc>
          <w:tcPr>
            <w:tcW w:type="dxa" w:w="6480"/>
            <w:shd w:fill="111827"/>
            <w:vAlign w:val="top"/>
          </w:tcPr>
          <w:p>
            <w:r/>
            <w:r>
              <w:rPr>
                <w:rFonts w:ascii="Arial" w:hAnsi="Arial"/>
                <w:b/>
                <w:color w:val="FFFFFF"/>
                <w:sz w:val="16"/>
              </w:rPr>
              <w:t>Initial value</w:t>
            </w:r>
          </w:p>
        </w:tc>
      </w:tr>
      <w:tr>
        <w:tc>
          <w:tcPr>
            <w:tcW w:type="dxa" w:w="4608"/>
            <w:vAlign w:val="top"/>
          </w:tcPr>
          <w:p>
            <w:r/>
            <w:r>
              <w:rPr>
                <w:rFonts w:ascii="Arial" w:hAnsi="Arial"/>
                <w:b w:val="0"/>
                <w:sz w:val="16"/>
              </w:rPr>
              <w:t>Max extra cost versus best route</w:t>
            </w:r>
          </w:p>
        </w:tc>
        <w:tc>
          <w:tcPr>
            <w:tcW w:type="dxa" w:w="6480"/>
            <w:vAlign w:val="top"/>
          </w:tcPr>
          <w:p>
            <w:r/>
            <w:r>
              <w:rPr>
                <w:rFonts w:ascii="Arial" w:hAnsi="Arial"/>
                <w:b w:val="0"/>
                <w:sz w:val="16"/>
              </w:rPr>
              <w:t>25-50 bps</w:t>
            </w:r>
          </w:p>
        </w:tc>
      </w:tr>
      <w:tr>
        <w:tc>
          <w:tcPr>
            <w:tcW w:type="dxa" w:w="4608"/>
            <w:vAlign w:val="top"/>
          </w:tcPr>
          <w:p>
            <w:r/>
            <w:r>
              <w:rPr>
                <w:rFonts w:ascii="Arial" w:hAnsi="Arial"/>
                <w:b w:val="0"/>
                <w:sz w:val="16"/>
              </w:rPr>
              <w:t>Max pool price impact</w:t>
            </w:r>
          </w:p>
        </w:tc>
        <w:tc>
          <w:tcPr>
            <w:tcW w:type="dxa" w:w="6480"/>
            <w:vAlign w:val="top"/>
          </w:tcPr>
          <w:p>
            <w:r/>
            <w:r>
              <w:rPr>
                <w:rFonts w:ascii="Arial" w:hAnsi="Arial"/>
                <w:b w:val="0"/>
                <w:sz w:val="16"/>
              </w:rPr>
              <w:t>1.0% early, tighter as TVL grows</w:t>
            </w:r>
          </w:p>
        </w:tc>
      </w:tr>
      <w:tr>
        <w:tc>
          <w:tcPr>
            <w:tcW w:type="dxa" w:w="4608"/>
            <w:vAlign w:val="top"/>
          </w:tcPr>
          <w:p>
            <w:r/>
            <w:r>
              <w:rPr>
                <w:rFonts w:ascii="Arial" w:hAnsi="Arial"/>
                <w:b w:val="0"/>
                <w:sz w:val="16"/>
              </w:rPr>
              <w:t>Max trade size at Level 1 pool</w:t>
            </w:r>
          </w:p>
        </w:tc>
        <w:tc>
          <w:tcPr>
            <w:tcW w:type="dxa" w:w="6480"/>
            <w:vAlign w:val="top"/>
          </w:tcPr>
          <w:p>
            <w:r/>
            <w:r>
              <w:rPr>
                <w:rFonts w:ascii="Arial" w:hAnsi="Arial"/>
                <w:b w:val="0"/>
                <w:sz w:val="16"/>
              </w:rPr>
              <w:t>$250 equivalent</w:t>
            </w:r>
          </w:p>
        </w:tc>
      </w:tr>
      <w:tr>
        <w:tc>
          <w:tcPr>
            <w:tcW w:type="dxa" w:w="4608"/>
            <w:vAlign w:val="top"/>
          </w:tcPr>
          <w:p>
            <w:r/>
            <w:r>
              <w:rPr>
                <w:rFonts w:ascii="Arial" w:hAnsi="Arial"/>
                <w:b w:val="0"/>
                <w:sz w:val="16"/>
              </w:rPr>
              <w:t>Reward exclusion</w:t>
            </w:r>
          </w:p>
        </w:tc>
        <w:tc>
          <w:tcPr>
            <w:tcW w:type="dxa" w:w="6480"/>
            <w:vAlign w:val="top"/>
          </w:tcPr>
          <w:p>
            <w:r/>
            <w:r>
              <w:rPr>
                <w:rFonts w:ascii="Arial" w:hAnsi="Arial"/>
                <w:b w:val="0"/>
                <w:sz w:val="16"/>
              </w:rPr>
              <w:t>Treasury, self-volume, MM internal rebalance, suspicious loops</w:t>
            </w:r>
          </w:p>
        </w:tc>
      </w:tr>
      <w:tr>
        <w:tc>
          <w:tcPr>
            <w:tcW w:type="dxa" w:w="4608"/>
            <w:vAlign w:val="top"/>
          </w:tcPr>
          <w:p>
            <w:r/>
            <w:r>
              <w:rPr>
                <w:rFonts w:ascii="Arial" w:hAnsi="Arial"/>
                <w:b w:val="0"/>
                <w:sz w:val="16"/>
              </w:rPr>
              <w:t>Pool health check</w:t>
            </w:r>
          </w:p>
        </w:tc>
        <w:tc>
          <w:tcPr>
            <w:tcW w:type="dxa" w:w="6480"/>
            <w:vAlign w:val="top"/>
          </w:tcPr>
          <w:p>
            <w:r/>
            <w:r>
              <w:rPr>
                <w:rFonts w:ascii="Arial" w:hAnsi="Arial"/>
                <w:b w:val="0"/>
                <w:sz w:val="16"/>
              </w:rPr>
              <w:t>TVL, depth, stale price, fee harvest status, route success rate</w:t>
            </w:r>
          </w:p>
        </w:tc>
      </w:tr>
    </w:tbl>
    <w:p/>
    <w:p>
      <w:pPr>
        <w:pStyle w:val="Heading2"/>
      </w:pPr>
      <w:r>
        <w:rPr>
          <w:b w:val="0"/>
        </w:rPr>
        <w:t>Pool Level Ladder</w:t>
      </w:r>
    </w:p>
    <w:tbl>
      <w:tblPr>
        <w:tblStyle w:val="TableGrid"/>
        <w:tblW w:type="auto" w:w="0"/>
        <w:jc w:val="center"/>
        <w:tblLook w:firstColumn="1" w:firstRow="1" w:lastColumn="0" w:lastRow="0" w:noHBand="0" w:noVBand="1" w:val="04A0"/>
      </w:tblPr>
      <w:tblGrid>
        <w:gridCol w:w="3456"/>
        <w:gridCol w:w="3456"/>
        <w:gridCol w:w="3456"/>
      </w:tblGrid>
      <w:tr>
        <w:tc>
          <w:tcPr>
            <w:tcW w:type="dxa" w:w="1440"/>
            <w:shd w:fill="111827"/>
            <w:vAlign w:val="top"/>
          </w:tcPr>
          <w:p>
            <w:r/>
            <w:r>
              <w:rPr>
                <w:rFonts w:ascii="Arial" w:hAnsi="Arial"/>
                <w:b/>
                <w:color w:val="FFFFFF"/>
                <w:sz w:val="16"/>
              </w:rPr>
              <w:t>Level</w:t>
            </w:r>
          </w:p>
        </w:tc>
        <w:tc>
          <w:tcPr>
            <w:tcW w:type="dxa" w:w="2304"/>
            <w:shd w:fill="111827"/>
            <w:vAlign w:val="top"/>
          </w:tcPr>
          <w:p>
            <w:r/>
            <w:r>
              <w:rPr>
                <w:rFonts w:ascii="Arial" w:hAnsi="Arial"/>
                <w:b/>
                <w:color w:val="FFFFFF"/>
                <w:sz w:val="16"/>
              </w:rPr>
              <w:t>TVL</w:t>
            </w:r>
          </w:p>
        </w:tc>
        <w:tc>
          <w:tcPr>
            <w:tcW w:type="dxa" w:w="7488"/>
            <w:shd w:fill="111827"/>
            <w:vAlign w:val="top"/>
          </w:tcPr>
          <w:p>
            <w:r/>
            <w:r>
              <w:rPr>
                <w:rFonts w:ascii="Arial" w:hAnsi="Arial"/>
                <w:b/>
                <w:color w:val="FFFFFF"/>
                <w:sz w:val="16"/>
              </w:rPr>
              <w:t>SW4P routing behavior</w:t>
            </w:r>
          </w:p>
        </w:tc>
      </w:tr>
      <w:tr>
        <w:tc>
          <w:tcPr>
            <w:tcW w:type="dxa" w:w="1440"/>
            <w:vAlign w:val="top"/>
          </w:tcPr>
          <w:p>
            <w:r/>
            <w:r>
              <w:rPr>
                <w:rFonts w:ascii="Arial" w:hAnsi="Arial"/>
                <w:b w:val="0"/>
                <w:sz w:val="16"/>
              </w:rPr>
              <w:t>Level 0</w:t>
            </w:r>
          </w:p>
        </w:tc>
        <w:tc>
          <w:tcPr>
            <w:tcW w:type="dxa" w:w="2304"/>
            <w:vAlign w:val="top"/>
          </w:tcPr>
          <w:p>
            <w:r/>
            <w:r>
              <w:rPr>
                <w:rFonts w:ascii="Arial" w:hAnsi="Arial"/>
                <w:b w:val="0"/>
                <w:sz w:val="16"/>
              </w:rPr>
              <w:t>&lt;$10K</w:t>
            </w:r>
          </w:p>
        </w:tc>
        <w:tc>
          <w:tcPr>
            <w:tcW w:type="dxa" w:w="7488"/>
            <w:vAlign w:val="top"/>
          </w:tcPr>
          <w:p>
            <w:r/>
            <w:r>
              <w:rPr>
                <w:rFonts w:ascii="Arial" w:hAnsi="Arial"/>
                <w:b w:val="0"/>
                <w:sz w:val="16"/>
              </w:rPr>
              <w:t>No default routing; small manual/bootstrap only</w:t>
            </w:r>
          </w:p>
        </w:tc>
      </w:tr>
      <w:tr>
        <w:tc>
          <w:tcPr>
            <w:tcW w:type="dxa" w:w="1440"/>
            <w:vAlign w:val="top"/>
          </w:tcPr>
          <w:p>
            <w:r/>
            <w:r>
              <w:rPr>
                <w:rFonts w:ascii="Arial" w:hAnsi="Arial"/>
                <w:b w:val="0"/>
                <w:sz w:val="16"/>
              </w:rPr>
              <w:t>Level 1</w:t>
            </w:r>
          </w:p>
        </w:tc>
        <w:tc>
          <w:tcPr>
            <w:tcW w:type="dxa" w:w="2304"/>
            <w:vAlign w:val="top"/>
          </w:tcPr>
          <w:p>
            <w:r/>
            <w:r>
              <w:rPr>
                <w:rFonts w:ascii="Arial" w:hAnsi="Arial"/>
                <w:b w:val="0"/>
                <w:sz w:val="16"/>
              </w:rPr>
              <w:t>$10K-$50K</w:t>
            </w:r>
          </w:p>
        </w:tc>
        <w:tc>
          <w:tcPr>
            <w:tcW w:type="dxa" w:w="7488"/>
            <w:vAlign w:val="top"/>
          </w:tcPr>
          <w:p>
            <w:r/>
            <w:r>
              <w:rPr>
                <w:rFonts w:ascii="Arial" w:hAnsi="Arial"/>
                <w:b w:val="0"/>
                <w:sz w:val="16"/>
              </w:rPr>
              <w:t>Route small trades only</w:t>
            </w:r>
          </w:p>
        </w:tc>
      </w:tr>
      <w:tr>
        <w:tc>
          <w:tcPr>
            <w:tcW w:type="dxa" w:w="1440"/>
            <w:vAlign w:val="top"/>
          </w:tcPr>
          <w:p>
            <w:r/>
            <w:r>
              <w:rPr>
                <w:rFonts w:ascii="Arial" w:hAnsi="Arial"/>
                <w:b w:val="0"/>
                <w:sz w:val="16"/>
              </w:rPr>
              <w:t>Level 2</w:t>
            </w:r>
          </w:p>
        </w:tc>
        <w:tc>
          <w:tcPr>
            <w:tcW w:type="dxa" w:w="2304"/>
            <w:vAlign w:val="top"/>
          </w:tcPr>
          <w:p>
            <w:r/>
            <w:r>
              <w:rPr>
                <w:rFonts w:ascii="Arial" w:hAnsi="Arial"/>
                <w:b w:val="0"/>
                <w:sz w:val="16"/>
              </w:rPr>
              <w:t>$50K-$250K</w:t>
            </w:r>
          </w:p>
        </w:tc>
        <w:tc>
          <w:tcPr>
            <w:tcW w:type="dxa" w:w="7488"/>
            <w:vAlign w:val="top"/>
          </w:tcPr>
          <w:p>
            <w:r/>
            <w:r>
              <w:rPr>
                <w:rFonts w:ascii="Arial" w:hAnsi="Arial"/>
                <w:b w:val="0"/>
                <w:sz w:val="16"/>
              </w:rPr>
              <w:t>Route 25%-50% of eligible flow</w:t>
            </w:r>
          </w:p>
        </w:tc>
      </w:tr>
      <w:tr>
        <w:tc>
          <w:tcPr>
            <w:tcW w:type="dxa" w:w="1440"/>
            <w:vAlign w:val="top"/>
          </w:tcPr>
          <w:p>
            <w:r/>
            <w:r>
              <w:rPr>
                <w:rFonts w:ascii="Arial" w:hAnsi="Arial"/>
                <w:b w:val="0"/>
                <w:sz w:val="16"/>
              </w:rPr>
              <w:t>Level 3</w:t>
            </w:r>
          </w:p>
        </w:tc>
        <w:tc>
          <w:tcPr>
            <w:tcW w:type="dxa" w:w="2304"/>
            <w:vAlign w:val="top"/>
          </w:tcPr>
          <w:p>
            <w:r/>
            <w:r>
              <w:rPr>
                <w:rFonts w:ascii="Arial" w:hAnsi="Arial"/>
                <w:b w:val="0"/>
                <w:sz w:val="16"/>
              </w:rPr>
              <w:t>$250K-$1M</w:t>
            </w:r>
          </w:p>
        </w:tc>
        <w:tc>
          <w:tcPr>
            <w:tcW w:type="dxa" w:w="7488"/>
            <w:vAlign w:val="top"/>
          </w:tcPr>
          <w:p>
            <w:r/>
            <w:r>
              <w:rPr>
                <w:rFonts w:ascii="Arial" w:hAnsi="Arial"/>
                <w:b w:val="0"/>
                <w:sz w:val="16"/>
              </w:rPr>
              <w:t>Route majority if best-execution passes</w:t>
            </w:r>
          </w:p>
        </w:tc>
      </w:tr>
      <w:tr>
        <w:tc>
          <w:tcPr>
            <w:tcW w:type="dxa" w:w="1440"/>
            <w:vAlign w:val="top"/>
          </w:tcPr>
          <w:p>
            <w:r/>
            <w:r>
              <w:rPr>
                <w:rFonts w:ascii="Arial" w:hAnsi="Arial"/>
                <w:b w:val="0"/>
                <w:sz w:val="16"/>
              </w:rPr>
              <w:t>Level 4</w:t>
            </w:r>
          </w:p>
        </w:tc>
        <w:tc>
          <w:tcPr>
            <w:tcW w:type="dxa" w:w="2304"/>
            <w:vAlign w:val="top"/>
          </w:tcPr>
          <w:p>
            <w:r/>
            <w:r>
              <w:rPr>
                <w:rFonts w:ascii="Arial" w:hAnsi="Arial"/>
                <w:b w:val="0"/>
                <w:sz w:val="16"/>
              </w:rPr>
              <w:t>$1M+</w:t>
            </w:r>
          </w:p>
        </w:tc>
        <w:tc>
          <w:tcPr>
            <w:tcW w:type="dxa" w:w="7488"/>
            <w:vAlign w:val="top"/>
          </w:tcPr>
          <w:p>
            <w:r/>
            <w:r>
              <w:rPr>
                <w:rFonts w:ascii="Arial" w:hAnsi="Arial"/>
                <w:b w:val="0"/>
                <w:sz w:val="16"/>
              </w:rPr>
              <w:t>Primary route if execution quality is best or comparable</w:t>
            </w:r>
          </w:p>
        </w:tc>
      </w:tr>
    </w:tbl>
    <w:p/>
    <w:p>
      <w:pPr>
        <w:pStyle w:val="Heading2"/>
      </w:pPr>
      <w:r>
        <w:rPr>
          <w:b w:val="0"/>
        </w:rPr>
        <w:t>Security Requirements</w:t>
      </w:r>
    </w:p>
    <w:tbl>
      <w:tblPr>
        <w:tblStyle w:val="TableGrid"/>
        <w:tblW w:type="auto" w:w="0"/>
        <w:jc w:val="center"/>
        <w:tblLook w:firstColumn="1" w:firstRow="1" w:lastColumn="0" w:lastRow="0" w:noHBand="0" w:noVBand="1" w:val="04A0"/>
      </w:tblPr>
      <w:tblGrid>
        <w:gridCol w:w="5184"/>
        <w:gridCol w:w="5184"/>
      </w:tblGrid>
      <w:tr>
        <w:tc>
          <w:tcPr>
            <w:tcW w:type="dxa" w:w="4032"/>
            <w:shd w:fill="111827"/>
            <w:vAlign w:val="top"/>
          </w:tcPr>
          <w:p>
            <w:r/>
            <w:r>
              <w:rPr>
                <w:rFonts w:ascii="Arial" w:hAnsi="Arial"/>
                <w:b/>
                <w:color w:val="FFFFFF"/>
                <w:sz w:val="16"/>
              </w:rPr>
              <w:t>Requirement</w:t>
            </w:r>
          </w:p>
        </w:tc>
        <w:tc>
          <w:tcPr>
            <w:tcW w:type="dxa" w:w="7200"/>
            <w:shd w:fill="111827"/>
            <w:vAlign w:val="top"/>
          </w:tcPr>
          <w:p>
            <w:r/>
            <w:r>
              <w:rPr>
                <w:rFonts w:ascii="Arial" w:hAnsi="Arial"/>
                <w:b/>
                <w:color w:val="FFFFFF"/>
                <w:sz w:val="16"/>
              </w:rPr>
              <w:t>Why</w:t>
            </w:r>
          </w:p>
        </w:tc>
      </w:tr>
      <w:tr>
        <w:tc>
          <w:tcPr>
            <w:tcW w:type="dxa" w:w="4032"/>
            <w:vAlign w:val="top"/>
          </w:tcPr>
          <w:p>
            <w:r/>
            <w:r>
              <w:rPr>
                <w:rFonts w:ascii="Arial" w:hAnsi="Arial"/>
                <w:b w:val="0"/>
                <w:sz w:val="16"/>
              </w:rPr>
              <w:t>Chain-verify token decimals</w:t>
            </w:r>
          </w:p>
        </w:tc>
        <w:tc>
          <w:tcPr>
            <w:tcW w:type="dxa" w:w="7200"/>
            <w:vAlign w:val="top"/>
          </w:tcPr>
          <w:p>
            <w:r/>
            <w:r>
              <w:rPr>
                <w:rFonts w:ascii="Arial" w:hAnsi="Arial"/>
                <w:b w:val="0"/>
                <w:sz w:val="16"/>
              </w:rPr>
              <w:t>Avoid failed or mis-sized NTT/burn operations</w:t>
            </w:r>
          </w:p>
        </w:tc>
      </w:tr>
      <w:tr>
        <w:tc>
          <w:tcPr>
            <w:tcW w:type="dxa" w:w="4032"/>
            <w:vAlign w:val="top"/>
          </w:tcPr>
          <w:p>
            <w:r/>
            <w:r>
              <w:rPr>
                <w:rFonts w:ascii="Arial" w:hAnsi="Arial"/>
                <w:b w:val="0"/>
                <w:sz w:val="16"/>
              </w:rPr>
              <w:t>NTT rate limits by chain</w:t>
            </w:r>
          </w:p>
        </w:tc>
        <w:tc>
          <w:tcPr>
            <w:tcW w:type="dxa" w:w="7200"/>
            <w:vAlign w:val="top"/>
          </w:tcPr>
          <w:p>
            <w:r/>
            <w:r>
              <w:rPr>
                <w:rFonts w:ascii="Arial" w:hAnsi="Arial"/>
                <w:b w:val="0"/>
                <w:sz w:val="16"/>
              </w:rPr>
              <w:t>Prevent drain/abuse and control deployment pace</w:t>
            </w:r>
          </w:p>
        </w:tc>
      </w:tr>
      <w:tr>
        <w:tc>
          <w:tcPr>
            <w:tcW w:type="dxa" w:w="4032"/>
            <w:vAlign w:val="top"/>
          </w:tcPr>
          <w:p>
            <w:r/>
            <w:r>
              <w:rPr>
                <w:rFonts w:ascii="Arial" w:hAnsi="Arial"/>
                <w:b w:val="0"/>
                <w:sz w:val="16"/>
              </w:rPr>
              <w:t>Multisig treasury/reserve controls</w:t>
            </w:r>
          </w:p>
        </w:tc>
        <w:tc>
          <w:tcPr>
            <w:tcW w:type="dxa" w:w="7200"/>
            <w:vAlign w:val="top"/>
          </w:tcPr>
          <w:p>
            <w:r/>
            <w:r>
              <w:rPr>
                <w:rFonts w:ascii="Arial" w:hAnsi="Arial"/>
                <w:b w:val="0"/>
                <w:sz w:val="16"/>
              </w:rPr>
              <w:t>Reduce hot-wallet and insider risk</w:t>
            </w:r>
          </w:p>
        </w:tc>
      </w:tr>
      <w:tr>
        <w:tc>
          <w:tcPr>
            <w:tcW w:type="dxa" w:w="4032"/>
            <w:vAlign w:val="top"/>
          </w:tcPr>
          <w:p>
            <w:r/>
            <w:r>
              <w:rPr>
                <w:rFonts w:ascii="Arial" w:hAnsi="Arial"/>
                <w:b w:val="0"/>
                <w:sz w:val="16"/>
              </w:rPr>
              <w:t>Pausable vaults/router</w:t>
            </w:r>
          </w:p>
        </w:tc>
        <w:tc>
          <w:tcPr>
            <w:tcW w:type="dxa" w:w="7200"/>
            <w:vAlign w:val="top"/>
          </w:tcPr>
          <w:p>
            <w:r/>
            <w:r>
              <w:rPr>
                <w:rFonts w:ascii="Arial" w:hAnsi="Arial"/>
                <w:b w:val="0"/>
                <w:sz w:val="16"/>
              </w:rPr>
              <w:t>Emergency response for exploit or market event</w:t>
            </w:r>
          </w:p>
        </w:tc>
      </w:tr>
      <w:tr>
        <w:tc>
          <w:tcPr>
            <w:tcW w:type="dxa" w:w="4032"/>
            <w:vAlign w:val="top"/>
          </w:tcPr>
          <w:p>
            <w:r/>
            <w:r>
              <w:rPr>
                <w:rFonts w:ascii="Arial" w:hAnsi="Arial"/>
                <w:b w:val="0"/>
                <w:sz w:val="16"/>
              </w:rPr>
              <w:t>Anti-wash reward exclusions</w:t>
            </w:r>
          </w:p>
        </w:tc>
        <w:tc>
          <w:tcPr>
            <w:tcW w:type="dxa" w:w="7200"/>
            <w:vAlign w:val="top"/>
          </w:tcPr>
          <w:p>
            <w:r/>
            <w:r>
              <w:rPr>
                <w:rFonts w:ascii="Arial" w:hAnsi="Arial"/>
                <w:b w:val="0"/>
                <w:sz w:val="16"/>
              </w:rPr>
              <w:t>Protect rewards and public metrics integrity</w:t>
            </w:r>
          </w:p>
        </w:tc>
      </w:tr>
      <w:tr>
        <w:tc>
          <w:tcPr>
            <w:tcW w:type="dxa" w:w="4032"/>
            <w:vAlign w:val="top"/>
          </w:tcPr>
          <w:p>
            <w:r/>
            <w:r>
              <w:rPr>
                <w:rFonts w:ascii="Arial" w:hAnsi="Arial"/>
                <w:b w:val="0"/>
                <w:sz w:val="16"/>
              </w:rPr>
              <w:t>Immutable reward epochs</w:t>
            </w:r>
          </w:p>
        </w:tc>
        <w:tc>
          <w:tcPr>
            <w:tcW w:type="dxa" w:w="7200"/>
            <w:vAlign w:val="top"/>
          </w:tcPr>
          <w:p>
            <w:r/>
            <w:r>
              <w:rPr>
                <w:rFonts w:ascii="Arial" w:hAnsi="Arial"/>
                <w:b w:val="0"/>
                <w:sz w:val="16"/>
              </w:rPr>
              <w:t>Prevent retroactive reward manipulation</w:t>
            </w:r>
          </w:p>
        </w:tc>
      </w:tr>
      <w:tr>
        <w:tc>
          <w:tcPr>
            <w:tcW w:type="dxa" w:w="4032"/>
            <w:vAlign w:val="top"/>
          </w:tcPr>
          <w:p>
            <w:r/>
            <w:r>
              <w:rPr>
                <w:rFonts w:ascii="Arial" w:hAnsi="Arial"/>
                <w:b w:val="0"/>
                <w:sz w:val="16"/>
              </w:rPr>
              <w:t>Proof hashes and public dashboard</w:t>
            </w:r>
          </w:p>
        </w:tc>
        <w:tc>
          <w:tcPr>
            <w:tcW w:type="dxa" w:w="7200"/>
            <w:vAlign w:val="top"/>
          </w:tcPr>
          <w:p>
            <w:r/>
            <w:r>
              <w:rPr>
                <w:rFonts w:ascii="Arial" w:hAnsi="Arial"/>
                <w:b w:val="0"/>
                <w:sz w:val="16"/>
              </w:rPr>
              <w:t>Make economics auditable</w:t>
            </w:r>
          </w:p>
        </w:tc>
      </w:tr>
    </w:tbl>
    <w:p/>
    <w:p>
      <w:pPr>
        <w:pStyle w:val="Heading1"/>
      </w:pPr>
      <w:r>
        <w:rPr>
          <w:b w:val="0"/>
        </w:rPr>
        <w:t>Part C — Statement of Work</w:t>
      </w:r>
    </w:p>
    <w:p>
      <w:pPr>
        <w:pStyle w:val="Heading2"/>
      </w:pPr>
      <w:r>
        <w:rPr>
          <w:b w:val="0"/>
        </w:rPr>
        <w:t>SOW Purpose</w:t>
      </w:r>
    </w:p>
    <w:p>
      <w:r>
        <w:rPr>
          <w:b w:val="0"/>
        </w:rPr>
        <w:t>This SOW defines the work required to deliver SW4P Earn Phase 1: Base NTT deployment, Base 555/USDC pool integration, staking and LP vaults, SW4P real-volume routing, fee and reward accounting, Pump fee integration, dashboard proof, and liquidity bootstrap mechanisms.</w:t>
      </w:r>
    </w:p>
    <w:p>
      <w:pPr>
        <w:pStyle w:val="Heading2"/>
      </w:pPr>
      <w:r>
        <w:rPr>
          <w:b w:val="0"/>
        </w:rPr>
        <w:t>Scope</w:t>
      </w:r>
    </w:p>
    <w:tbl>
      <w:tblPr>
        <w:tblStyle w:val="TableGrid"/>
        <w:tblW w:type="auto" w:w="0"/>
        <w:jc w:val="center"/>
        <w:tblLook w:firstColumn="1" w:firstRow="1" w:lastColumn="0" w:lastRow="0" w:noHBand="0" w:noVBand="1" w:val="04A0"/>
      </w:tblPr>
      <w:tblGrid>
        <w:gridCol w:w="5184"/>
        <w:gridCol w:w="5184"/>
      </w:tblGrid>
      <w:tr>
        <w:tc>
          <w:tcPr>
            <w:tcW w:type="dxa" w:w="5472"/>
            <w:shd w:fill="111827"/>
            <w:vAlign w:val="top"/>
          </w:tcPr>
          <w:p>
            <w:r/>
            <w:r>
              <w:rPr>
                <w:rFonts w:ascii="Arial" w:hAnsi="Arial"/>
                <w:b/>
                <w:color w:val="FFFFFF"/>
                <w:sz w:val="16"/>
              </w:rPr>
              <w:t>In scope</w:t>
            </w:r>
          </w:p>
        </w:tc>
        <w:tc>
          <w:tcPr>
            <w:tcW w:type="dxa" w:w="5472"/>
            <w:shd w:fill="111827"/>
            <w:vAlign w:val="top"/>
          </w:tcPr>
          <w:p>
            <w:r/>
            <w:r>
              <w:rPr>
                <w:rFonts w:ascii="Arial" w:hAnsi="Arial"/>
                <w:b/>
                <w:color w:val="FFFFFF"/>
                <w:sz w:val="16"/>
              </w:rPr>
              <w:t>Out of scope for Phase 1</w:t>
            </w:r>
          </w:p>
        </w:tc>
      </w:tr>
      <w:tr>
        <w:tc>
          <w:tcPr>
            <w:tcW w:type="dxa" w:w="5472"/>
            <w:vAlign w:val="top"/>
          </w:tcPr>
          <w:p>
            <w:r/>
            <w:r>
              <w:rPr>
                <w:rFonts w:ascii="Arial" w:hAnsi="Arial"/>
                <w:b w:val="0"/>
                <w:sz w:val="16"/>
              </w:rPr>
              <w:t>Token metadata/decimal verification</w:t>
            </w:r>
          </w:p>
        </w:tc>
        <w:tc>
          <w:tcPr>
            <w:tcW w:type="dxa" w:w="5472"/>
            <w:vAlign w:val="top"/>
          </w:tcPr>
          <w:p>
            <w:r/>
            <w:r>
              <w:rPr>
                <w:rFonts w:ascii="Arial" w:hAnsi="Arial"/>
                <w:b w:val="0"/>
                <w:sz w:val="16"/>
              </w:rPr>
              <w:t>CEX listings</w:t>
            </w:r>
          </w:p>
        </w:tc>
      </w:tr>
      <w:tr>
        <w:tc>
          <w:tcPr>
            <w:tcW w:type="dxa" w:w="5472"/>
            <w:vAlign w:val="top"/>
          </w:tcPr>
          <w:p>
            <w:r/>
            <w:r>
              <w:rPr>
                <w:rFonts w:ascii="Arial" w:hAnsi="Arial"/>
                <w:b w:val="0"/>
                <w:sz w:val="16"/>
              </w:rPr>
              <w:t>Base NTT and ERC-20 deployment</w:t>
            </w:r>
          </w:p>
        </w:tc>
        <w:tc>
          <w:tcPr>
            <w:tcW w:type="dxa" w:w="5472"/>
            <w:vAlign w:val="top"/>
          </w:tcPr>
          <w:p>
            <w:r/>
            <w:r>
              <w:rPr>
                <w:rFonts w:ascii="Arial" w:hAnsi="Arial"/>
                <w:b w:val="0"/>
                <w:sz w:val="16"/>
              </w:rPr>
              <w:t>Market-maker execution agreement</w:t>
            </w:r>
          </w:p>
        </w:tc>
      </w:tr>
      <w:tr>
        <w:tc>
          <w:tcPr>
            <w:tcW w:type="dxa" w:w="5472"/>
            <w:vAlign w:val="top"/>
          </w:tcPr>
          <w:p>
            <w:r/>
            <w:r>
              <w:rPr>
                <w:rFonts w:ascii="Arial" w:hAnsi="Arial"/>
                <w:b w:val="0"/>
                <w:sz w:val="16"/>
              </w:rPr>
              <w:t>Base 555/USDC pool and PoolRegistry</w:t>
            </w:r>
          </w:p>
        </w:tc>
        <w:tc>
          <w:tcPr>
            <w:tcW w:type="dxa" w:w="5472"/>
            <w:vAlign w:val="top"/>
          </w:tcPr>
          <w:p>
            <w:r/>
            <w:r>
              <w:rPr>
                <w:rFonts w:ascii="Arial" w:hAnsi="Arial"/>
                <w:b w:val="0"/>
                <w:sz w:val="16"/>
              </w:rPr>
              <w:t>Arbitrum/Polygon production launch</w:t>
            </w:r>
          </w:p>
        </w:tc>
      </w:tr>
      <w:tr>
        <w:tc>
          <w:tcPr>
            <w:tcW w:type="dxa" w:w="5472"/>
            <w:vAlign w:val="top"/>
          </w:tcPr>
          <w:p>
            <w:r/>
            <w:r>
              <w:rPr>
                <w:rFonts w:ascii="Arial" w:hAnsi="Arial"/>
                <w:b w:val="0"/>
                <w:sz w:val="16"/>
              </w:rPr>
              <w:t>Global Lock, LP Vault, POL Vault</w:t>
            </w:r>
          </w:p>
        </w:tc>
        <w:tc>
          <w:tcPr>
            <w:tcW w:type="dxa" w:w="5472"/>
            <w:vAlign w:val="top"/>
          </w:tcPr>
          <w:p>
            <w:r/>
            <w:r>
              <w:rPr>
                <w:rFonts w:ascii="Arial" w:hAnsi="Arial"/>
                <w:b w:val="0"/>
                <w:sz w:val="16"/>
              </w:rPr>
              <w:t>Guaranteed APY or token-price outcomes</w:t>
            </w:r>
          </w:p>
        </w:tc>
      </w:tr>
      <w:tr>
        <w:tc>
          <w:tcPr>
            <w:tcW w:type="dxa" w:w="5472"/>
            <w:vAlign w:val="top"/>
          </w:tcPr>
          <w:p>
            <w:r/>
            <w:r>
              <w:rPr>
                <w:rFonts w:ascii="Arial" w:hAnsi="Arial"/>
                <w:b w:val="0"/>
                <w:sz w:val="16"/>
              </w:rPr>
              <w:t>SW4P routing guardrails and event ledger</w:t>
            </w:r>
          </w:p>
        </w:tc>
        <w:tc>
          <w:tcPr>
            <w:tcW w:type="dxa" w:w="5472"/>
            <w:vAlign w:val="top"/>
          </w:tcPr>
          <w:p>
            <w:r/>
            <w:r>
              <w:rPr>
                <w:rFonts w:ascii="Arial" w:hAnsi="Arial"/>
                <w:b w:val="0"/>
                <w:sz w:val="16"/>
              </w:rPr>
              <w:t>Fully autonomous treasury without multisig review</w:t>
            </w:r>
          </w:p>
        </w:tc>
      </w:tr>
      <w:tr>
        <w:tc>
          <w:tcPr>
            <w:tcW w:type="dxa" w:w="5472"/>
            <w:vAlign w:val="top"/>
          </w:tcPr>
          <w:p>
            <w:r/>
            <w:r>
              <w:rPr>
                <w:rFonts w:ascii="Arial" w:hAnsi="Arial"/>
                <w:b w:val="0"/>
                <w:sz w:val="16"/>
              </w:rPr>
              <w:t>Fee/reward engine and Pump fee accounting</w:t>
            </w:r>
          </w:p>
        </w:tc>
        <w:tc>
          <w:tcPr>
            <w:tcW w:type="dxa" w:w="5472"/>
            <w:vAlign w:val="top"/>
          </w:tcPr>
          <w:p>
            <w:r/>
            <w:r>
              <w:rPr>
                <w:rFonts w:ascii="Arial" w:hAnsi="Arial"/>
                <w:b w:val="0"/>
                <w:sz w:val="16"/>
              </w:rPr>
              <w:t>Fake volume, wash trading, undisclosed MM activity</w:t>
            </w:r>
          </w:p>
        </w:tc>
      </w:tr>
      <w:tr>
        <w:tc>
          <w:tcPr>
            <w:tcW w:type="dxa" w:w="5472"/>
            <w:vAlign w:val="top"/>
          </w:tcPr>
          <w:p>
            <w:r/>
            <w:r>
              <w:rPr>
                <w:rFonts w:ascii="Arial" w:hAnsi="Arial"/>
                <w:b w:val="0"/>
                <w:sz w:val="16"/>
              </w:rPr>
              <w:t>Public proof dashboard and launch runbooks</w:t>
            </w:r>
          </w:p>
        </w:tc>
        <w:tc>
          <w:tcPr>
            <w:tcW w:type="dxa" w:w="5472"/>
            <w:vAlign w:val="top"/>
          </w:tcPr>
          <w:p>
            <w:r/>
            <w:r>
              <w:rPr>
                <w:rFonts w:ascii="Arial" w:hAnsi="Arial"/>
                <w:b w:val="0"/>
                <w:sz w:val="16"/>
              </w:rPr>
            </w:r>
          </w:p>
        </w:tc>
      </w:tr>
    </w:tbl>
    <w:p/>
    <w:p>
      <w:pPr>
        <w:pStyle w:val="Heading2"/>
      </w:pPr>
      <w:r>
        <w:rPr>
          <w:b w:val="0"/>
        </w:rPr>
        <w:t>Milestones and Acceptance Criteria</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111827"/>
            <w:vAlign w:val="top"/>
          </w:tcPr>
          <w:p>
            <w:r/>
            <w:r>
              <w:rPr>
                <w:rFonts w:ascii="Arial" w:hAnsi="Arial"/>
                <w:b/>
                <w:color w:val="FFFFFF"/>
                <w:sz w:val="16"/>
              </w:rPr>
              <w:t>Milestone</w:t>
            </w:r>
          </w:p>
        </w:tc>
        <w:tc>
          <w:tcPr>
            <w:tcW w:type="dxa" w:w="4608"/>
            <w:shd w:fill="111827"/>
            <w:vAlign w:val="top"/>
          </w:tcPr>
          <w:p>
            <w:r/>
            <w:r>
              <w:rPr>
                <w:rFonts w:ascii="Arial" w:hAnsi="Arial"/>
                <w:b/>
                <w:color w:val="FFFFFF"/>
                <w:sz w:val="16"/>
              </w:rPr>
              <w:t>Deliverables</w:t>
            </w:r>
          </w:p>
        </w:tc>
        <w:tc>
          <w:tcPr>
            <w:tcW w:type="dxa" w:w="5184"/>
            <w:shd w:fill="111827"/>
            <w:vAlign w:val="top"/>
          </w:tcPr>
          <w:p>
            <w:r/>
            <w:r>
              <w:rPr>
                <w:rFonts w:ascii="Arial" w:hAnsi="Arial"/>
                <w:b/>
                <w:color w:val="FFFFFF"/>
                <w:sz w:val="16"/>
              </w:rPr>
              <w:t>Acceptance criteria</w:t>
            </w:r>
          </w:p>
        </w:tc>
      </w:tr>
      <w:tr>
        <w:tc>
          <w:tcPr>
            <w:tcW w:type="dxa" w:w="2016"/>
            <w:vAlign w:val="top"/>
          </w:tcPr>
          <w:p>
            <w:r/>
            <w:r>
              <w:rPr>
                <w:rFonts w:ascii="Arial" w:hAnsi="Arial"/>
                <w:b w:val="0"/>
                <w:sz w:val="16"/>
              </w:rPr>
              <w:t>M0 Design freeze</w:t>
            </w:r>
          </w:p>
        </w:tc>
        <w:tc>
          <w:tcPr>
            <w:tcW w:type="dxa" w:w="4608"/>
            <w:vAlign w:val="top"/>
          </w:tcPr>
          <w:p>
            <w:r/>
            <w:r>
              <w:rPr>
                <w:rFonts w:ascii="Arial" w:hAnsi="Arial"/>
                <w:b w:val="0"/>
                <w:sz w:val="16"/>
              </w:rPr>
              <w:t>TRD, SOW, fee policy, route policy, reward policy</w:t>
            </w:r>
          </w:p>
        </w:tc>
        <w:tc>
          <w:tcPr>
            <w:tcW w:type="dxa" w:w="5184"/>
            <w:vAlign w:val="top"/>
          </w:tcPr>
          <w:p>
            <w:r/>
            <w:r>
              <w:rPr>
                <w:rFonts w:ascii="Arial" w:hAnsi="Arial"/>
                <w:b w:val="0"/>
                <w:sz w:val="16"/>
              </w:rPr>
              <w:t>Stakeholder signoff and no unresolved P0 ambiguity</w:t>
            </w:r>
          </w:p>
        </w:tc>
      </w:tr>
      <w:tr>
        <w:tc>
          <w:tcPr>
            <w:tcW w:type="dxa" w:w="2016"/>
            <w:vAlign w:val="top"/>
          </w:tcPr>
          <w:p>
            <w:r/>
            <w:r>
              <w:rPr>
                <w:rFonts w:ascii="Arial" w:hAnsi="Arial"/>
                <w:b w:val="0"/>
                <w:sz w:val="16"/>
              </w:rPr>
              <w:t>M1 Token/NTT readiness</w:t>
            </w:r>
          </w:p>
        </w:tc>
        <w:tc>
          <w:tcPr>
            <w:tcW w:type="dxa" w:w="4608"/>
            <w:vAlign w:val="top"/>
          </w:tcPr>
          <w:p>
            <w:r/>
            <w:r>
              <w:rPr>
                <w:rFonts w:ascii="Arial" w:hAnsi="Arial"/>
                <w:b w:val="0"/>
                <w:sz w:val="16"/>
              </w:rPr>
              <w:t>Decimal verification, NTT config, cross-chain supply policy</w:t>
            </w:r>
          </w:p>
        </w:tc>
        <w:tc>
          <w:tcPr>
            <w:tcW w:type="dxa" w:w="5184"/>
            <w:vAlign w:val="top"/>
          </w:tcPr>
          <w:p>
            <w:r/>
            <w:r>
              <w:rPr>
                <w:rFonts w:ascii="Arial" w:hAnsi="Arial"/>
                <w:b w:val="0"/>
                <w:sz w:val="16"/>
              </w:rPr>
              <w:t>Test transfer and supply invariant pass</w:t>
            </w:r>
          </w:p>
        </w:tc>
      </w:tr>
      <w:tr>
        <w:tc>
          <w:tcPr>
            <w:tcW w:type="dxa" w:w="2016"/>
            <w:vAlign w:val="top"/>
          </w:tcPr>
          <w:p>
            <w:r/>
            <w:r>
              <w:rPr>
                <w:rFonts w:ascii="Arial" w:hAnsi="Arial"/>
                <w:b w:val="0"/>
                <w:sz w:val="16"/>
              </w:rPr>
              <w:t>M2 Base contracts</w:t>
            </w:r>
          </w:p>
        </w:tc>
        <w:tc>
          <w:tcPr>
            <w:tcW w:type="dxa" w:w="4608"/>
            <w:vAlign w:val="top"/>
          </w:tcPr>
          <w:p>
            <w:r/>
            <w:r>
              <w:rPr>
                <w:rFonts w:ascii="Arial" w:hAnsi="Arial"/>
                <w:b w:val="0"/>
                <w:sz w:val="16"/>
              </w:rPr>
              <w:t>ERC-20, NTT Manager, PoolRegistry, vault contracts</w:t>
            </w:r>
          </w:p>
        </w:tc>
        <w:tc>
          <w:tcPr>
            <w:tcW w:type="dxa" w:w="5184"/>
            <w:vAlign w:val="top"/>
          </w:tcPr>
          <w:p>
            <w:r/>
            <w:r>
              <w:rPr>
                <w:rFonts w:ascii="Arial" w:hAnsi="Arial"/>
                <w:b w:val="0"/>
                <w:sz w:val="16"/>
              </w:rPr>
              <w:t>Test suite and testnet deployment pass</w:t>
            </w:r>
          </w:p>
        </w:tc>
      </w:tr>
      <w:tr>
        <w:tc>
          <w:tcPr>
            <w:tcW w:type="dxa" w:w="2016"/>
            <w:vAlign w:val="top"/>
          </w:tcPr>
          <w:p>
            <w:r/>
            <w:r>
              <w:rPr>
                <w:rFonts w:ascii="Arial" w:hAnsi="Arial"/>
                <w:b w:val="0"/>
                <w:sz w:val="16"/>
              </w:rPr>
              <w:t>M3 SW4P routing</w:t>
            </w:r>
          </w:p>
        </w:tc>
        <w:tc>
          <w:tcPr>
            <w:tcW w:type="dxa" w:w="4608"/>
            <w:vAlign w:val="top"/>
          </w:tcPr>
          <w:p>
            <w:r/>
            <w:r>
              <w:rPr>
                <w:rFonts w:ascii="Arial" w:hAnsi="Arial"/>
                <w:b w:val="0"/>
                <w:sz w:val="16"/>
              </w:rPr>
              <w:t>Quote engine, route caps, ledger, best-execution guardrails</w:t>
            </w:r>
          </w:p>
        </w:tc>
        <w:tc>
          <w:tcPr>
            <w:tcW w:type="dxa" w:w="5184"/>
            <w:vAlign w:val="top"/>
          </w:tcPr>
          <w:p>
            <w:r/>
            <w:r>
              <w:rPr>
                <w:rFonts w:ascii="Arial" w:hAnsi="Arial"/>
                <w:b w:val="0"/>
                <w:sz w:val="16"/>
              </w:rPr>
              <w:t>Small trades route only when guardrails pass</w:t>
            </w:r>
          </w:p>
        </w:tc>
      </w:tr>
      <w:tr>
        <w:tc>
          <w:tcPr>
            <w:tcW w:type="dxa" w:w="2016"/>
            <w:vAlign w:val="top"/>
          </w:tcPr>
          <w:p>
            <w:r/>
            <w:r>
              <w:rPr>
                <w:rFonts w:ascii="Arial" w:hAnsi="Arial"/>
                <w:b w:val="0"/>
                <w:sz w:val="16"/>
              </w:rPr>
              <w:t>M4 Rewards engine</w:t>
            </w:r>
          </w:p>
        </w:tc>
        <w:tc>
          <w:tcPr>
            <w:tcW w:type="dxa" w:w="4608"/>
            <w:vAlign w:val="top"/>
          </w:tcPr>
          <w:p>
            <w:r/>
            <w:r>
              <w:rPr>
                <w:rFonts w:ascii="Arial" w:hAnsi="Arial"/>
                <w:b w:val="0"/>
                <w:sz w:val="16"/>
              </w:rPr>
              <w:t>Fee ingest, reward epochs, claims, APY calculation</w:t>
            </w:r>
          </w:p>
        </w:tc>
        <w:tc>
          <w:tcPr>
            <w:tcW w:type="dxa" w:w="5184"/>
            <w:vAlign w:val="top"/>
          </w:tcPr>
          <w:p>
            <w:r/>
            <w:r>
              <w:rPr>
                <w:rFonts w:ascii="Arial" w:hAnsi="Arial"/>
                <w:b w:val="0"/>
                <w:sz w:val="16"/>
              </w:rPr>
              <w:t>Rewards trace to fee events and no double claims</w:t>
            </w:r>
          </w:p>
        </w:tc>
      </w:tr>
      <w:tr>
        <w:tc>
          <w:tcPr>
            <w:tcW w:type="dxa" w:w="2016"/>
            <w:vAlign w:val="top"/>
          </w:tcPr>
          <w:p>
            <w:r/>
            <w:r>
              <w:rPr>
                <w:rFonts w:ascii="Arial" w:hAnsi="Arial"/>
                <w:b w:val="0"/>
                <w:sz w:val="16"/>
              </w:rPr>
              <w:t>M5 Dashboard</w:t>
            </w:r>
          </w:p>
        </w:tc>
        <w:tc>
          <w:tcPr>
            <w:tcW w:type="dxa" w:w="4608"/>
            <w:vAlign w:val="top"/>
          </w:tcPr>
          <w:p>
            <w:r/>
            <w:r>
              <w:rPr>
                <w:rFonts w:ascii="Arial" w:hAnsi="Arial"/>
                <w:b w:val="0"/>
                <w:sz w:val="16"/>
              </w:rPr>
              <w:t>Public supply, TVL, fees, rewards, Pump fees, POL</w:t>
            </w:r>
          </w:p>
        </w:tc>
        <w:tc>
          <w:tcPr>
            <w:tcW w:type="dxa" w:w="5184"/>
            <w:vAlign w:val="top"/>
          </w:tcPr>
          <w:p>
            <w:r/>
            <w:r>
              <w:rPr>
                <w:rFonts w:ascii="Arial" w:hAnsi="Arial"/>
                <w:b w:val="0"/>
                <w:sz w:val="16"/>
              </w:rPr>
              <w:t>Dashboard reconciles with chain/indexer data</w:t>
            </w:r>
          </w:p>
        </w:tc>
      </w:tr>
      <w:tr>
        <w:tc>
          <w:tcPr>
            <w:tcW w:type="dxa" w:w="2016"/>
            <w:vAlign w:val="top"/>
          </w:tcPr>
          <w:p>
            <w:r/>
            <w:r>
              <w:rPr>
                <w:rFonts w:ascii="Arial" w:hAnsi="Arial"/>
                <w:b w:val="0"/>
                <w:sz w:val="16"/>
              </w:rPr>
              <w:t>M6 Base beta launch</w:t>
            </w:r>
          </w:p>
        </w:tc>
        <w:tc>
          <w:tcPr>
            <w:tcW w:type="dxa" w:w="4608"/>
            <w:vAlign w:val="top"/>
          </w:tcPr>
          <w:p>
            <w:r/>
            <w:r>
              <w:rPr>
                <w:rFonts w:ascii="Arial" w:hAnsi="Arial"/>
                <w:b w:val="0"/>
                <w:sz w:val="16"/>
              </w:rPr>
              <w:t>Base pool, LP onboarding, staking, limited SW4P routing</w:t>
            </w:r>
          </w:p>
        </w:tc>
        <w:tc>
          <w:tcPr>
            <w:tcW w:type="dxa" w:w="5184"/>
            <w:vAlign w:val="top"/>
          </w:tcPr>
          <w:p>
            <w:r/>
            <w:r>
              <w:rPr>
                <w:rFonts w:ascii="Arial" w:hAnsi="Arial"/>
                <w:b w:val="0"/>
                <w:sz w:val="16"/>
              </w:rPr>
              <w:t>Low-value canaries pass and monitoring live</w:t>
            </w:r>
          </w:p>
        </w:tc>
      </w:tr>
      <w:tr>
        <w:tc>
          <w:tcPr>
            <w:tcW w:type="dxa" w:w="2016"/>
            <w:vAlign w:val="top"/>
          </w:tcPr>
          <w:p>
            <w:r/>
            <w:r>
              <w:rPr>
                <w:rFonts w:ascii="Arial" w:hAnsi="Arial"/>
                <w:b w:val="0"/>
                <w:sz w:val="16"/>
              </w:rPr>
              <w:t>M7 Liquidity bootstrap</w:t>
            </w:r>
          </w:p>
        </w:tc>
        <w:tc>
          <w:tcPr>
            <w:tcW w:type="dxa" w:w="4608"/>
            <w:vAlign w:val="top"/>
          </w:tcPr>
          <w:p>
            <w:r/>
            <w:r>
              <w:rPr>
                <w:rFonts w:ascii="Arial" w:hAnsi="Arial"/>
                <w:b w:val="0"/>
                <w:sz w:val="16"/>
              </w:rPr>
              <w:t>Incentive campaigns, matched-liquidity beta</w:t>
            </w:r>
          </w:p>
        </w:tc>
        <w:tc>
          <w:tcPr>
            <w:tcW w:type="dxa" w:w="5184"/>
            <w:vAlign w:val="top"/>
          </w:tcPr>
          <w:p>
            <w:r/>
            <w:r>
              <w:rPr>
                <w:rFonts w:ascii="Arial" w:hAnsi="Arial"/>
                <w:b w:val="0"/>
                <w:sz w:val="16"/>
              </w:rPr>
              <w:t>TVL and route thresholds tracked publicly</w:t>
            </w:r>
          </w:p>
        </w:tc>
      </w:tr>
    </w:tbl>
    <w:p/>
    <w:p>
      <w:pPr>
        <w:pStyle w:val="Heading2"/>
      </w:pPr>
      <w:r>
        <w:rPr>
          <w:b w:val="0"/>
        </w:rPr>
        <w:t>Risk Register</w:t>
      </w:r>
    </w:p>
    <w:tbl>
      <w:tblPr>
        <w:tblStyle w:val="TableGrid"/>
        <w:tblW w:type="auto" w:w="0"/>
        <w:jc w:val="center"/>
        <w:tblLook w:firstColumn="1" w:firstRow="1" w:lastColumn="0" w:lastRow="0" w:noHBand="0" w:noVBand="1" w:val="04A0"/>
      </w:tblPr>
      <w:tblGrid>
        <w:gridCol w:w="3456"/>
        <w:gridCol w:w="3456"/>
        <w:gridCol w:w="3456"/>
      </w:tblGrid>
      <w:tr>
        <w:tc>
          <w:tcPr>
            <w:tcW w:type="dxa" w:w="4608"/>
            <w:shd w:fill="111827"/>
            <w:vAlign w:val="top"/>
          </w:tcPr>
          <w:p>
            <w:r/>
            <w:r>
              <w:rPr>
                <w:rFonts w:ascii="Arial" w:hAnsi="Arial"/>
                <w:b/>
                <w:color w:val="FFFFFF"/>
                <w:sz w:val="16"/>
              </w:rPr>
              <w:t>Risk</w:t>
            </w:r>
          </w:p>
        </w:tc>
        <w:tc>
          <w:tcPr>
            <w:tcW w:type="dxa" w:w="1440"/>
            <w:shd w:fill="111827"/>
            <w:vAlign w:val="top"/>
          </w:tcPr>
          <w:p>
            <w:r/>
            <w:r>
              <w:rPr>
                <w:rFonts w:ascii="Arial" w:hAnsi="Arial"/>
                <w:b/>
                <w:color w:val="FFFFFF"/>
                <w:sz w:val="16"/>
              </w:rPr>
              <w:t>Severity</w:t>
            </w:r>
          </w:p>
        </w:tc>
        <w:tc>
          <w:tcPr>
            <w:tcW w:type="dxa" w:w="5472"/>
            <w:shd w:fill="111827"/>
            <w:vAlign w:val="top"/>
          </w:tcPr>
          <w:p>
            <w:r/>
            <w:r>
              <w:rPr>
                <w:rFonts w:ascii="Arial" w:hAnsi="Arial"/>
                <w:b/>
                <w:color w:val="FFFFFF"/>
                <w:sz w:val="16"/>
              </w:rPr>
              <w:t>Mitigation</w:t>
            </w:r>
          </w:p>
        </w:tc>
      </w:tr>
      <w:tr>
        <w:tc>
          <w:tcPr>
            <w:tcW w:type="dxa" w:w="4608"/>
            <w:vAlign w:val="top"/>
          </w:tcPr>
          <w:p>
            <w:r/>
            <w:r>
              <w:rPr>
                <w:rFonts w:ascii="Arial" w:hAnsi="Arial"/>
                <w:b w:val="0"/>
                <w:sz w:val="16"/>
              </w:rPr>
              <w:t>Decimal mismatch causes transfer/burn errors</w:t>
            </w:r>
          </w:p>
        </w:tc>
        <w:tc>
          <w:tcPr>
            <w:tcW w:type="dxa" w:w="1440"/>
            <w:vAlign w:val="top"/>
          </w:tcPr>
          <w:p>
            <w:r/>
            <w:r>
              <w:rPr>
                <w:rFonts w:ascii="Arial" w:hAnsi="Arial"/>
                <w:b w:val="0"/>
                <w:sz w:val="16"/>
              </w:rPr>
              <w:t>Critical</w:t>
            </w:r>
          </w:p>
        </w:tc>
        <w:tc>
          <w:tcPr>
            <w:tcW w:type="dxa" w:w="5472"/>
            <w:vAlign w:val="top"/>
          </w:tcPr>
          <w:p>
            <w:r/>
            <w:r>
              <w:rPr>
                <w:rFonts w:ascii="Arial" w:hAnsi="Arial"/>
                <w:b w:val="0"/>
                <w:sz w:val="16"/>
              </w:rPr>
              <w:t>Chain-verify decimals and fail closed</w:t>
            </w:r>
          </w:p>
        </w:tc>
      </w:tr>
      <w:tr>
        <w:tc>
          <w:tcPr>
            <w:tcW w:type="dxa" w:w="4608"/>
            <w:vAlign w:val="top"/>
          </w:tcPr>
          <w:p>
            <w:r/>
            <w:r>
              <w:rPr>
                <w:rFonts w:ascii="Arial" w:hAnsi="Arial"/>
                <w:b w:val="0"/>
                <w:sz w:val="16"/>
              </w:rPr>
              <w:t>Low USDC liquidity limits routing</w:t>
            </w:r>
          </w:p>
        </w:tc>
        <w:tc>
          <w:tcPr>
            <w:tcW w:type="dxa" w:w="1440"/>
            <w:vAlign w:val="top"/>
          </w:tcPr>
          <w:p>
            <w:r/>
            <w:r>
              <w:rPr>
                <w:rFonts w:ascii="Arial" w:hAnsi="Arial"/>
                <w:b w:val="0"/>
                <w:sz w:val="16"/>
              </w:rPr>
              <w:t>High</w:t>
            </w:r>
          </w:p>
        </w:tc>
        <w:tc>
          <w:tcPr>
            <w:tcW w:type="dxa" w:w="5472"/>
            <w:vAlign w:val="top"/>
          </w:tcPr>
          <w:p>
            <w:r/>
            <w:r>
              <w:rPr>
                <w:rFonts w:ascii="Arial" w:hAnsi="Arial"/>
                <w:b w:val="0"/>
                <w:sz w:val="16"/>
              </w:rPr>
              <w:t>Pool ladder, external LP incentives, fee-funded POL</w:t>
            </w:r>
          </w:p>
        </w:tc>
      </w:tr>
      <w:tr>
        <w:tc>
          <w:tcPr>
            <w:tcW w:type="dxa" w:w="4608"/>
            <w:vAlign w:val="top"/>
          </w:tcPr>
          <w:p>
            <w:r/>
            <w:r>
              <w:rPr>
                <w:rFonts w:ascii="Arial" w:hAnsi="Arial"/>
                <w:b w:val="0"/>
                <w:sz w:val="16"/>
              </w:rPr>
              <w:t>Rewards attract farmed/wash volume</w:t>
            </w:r>
          </w:p>
        </w:tc>
        <w:tc>
          <w:tcPr>
            <w:tcW w:type="dxa" w:w="1440"/>
            <w:vAlign w:val="top"/>
          </w:tcPr>
          <w:p>
            <w:r/>
            <w:r>
              <w:rPr>
                <w:rFonts w:ascii="Arial" w:hAnsi="Arial"/>
                <w:b w:val="0"/>
                <w:sz w:val="16"/>
              </w:rPr>
              <w:t>High</w:t>
            </w:r>
          </w:p>
        </w:tc>
        <w:tc>
          <w:tcPr>
            <w:tcW w:type="dxa" w:w="5472"/>
            <w:vAlign w:val="top"/>
          </w:tcPr>
          <w:p>
            <w:r/>
            <w:r>
              <w:rPr>
                <w:rFonts w:ascii="Arial" w:hAnsi="Arial"/>
                <w:b w:val="0"/>
                <w:sz w:val="16"/>
              </w:rPr>
              <w:t>Anti-wash filters, classifications, reward exclusions</w:t>
            </w:r>
          </w:p>
        </w:tc>
      </w:tr>
      <w:tr>
        <w:tc>
          <w:tcPr>
            <w:tcW w:type="dxa" w:w="4608"/>
            <w:vAlign w:val="top"/>
          </w:tcPr>
          <w:p>
            <w:r/>
            <w:r>
              <w:rPr>
                <w:rFonts w:ascii="Arial" w:hAnsi="Arial"/>
                <w:b w:val="0"/>
                <w:sz w:val="16"/>
              </w:rPr>
              <w:t>Liquidity fragmentation</w:t>
            </w:r>
          </w:p>
        </w:tc>
        <w:tc>
          <w:tcPr>
            <w:tcW w:type="dxa" w:w="1440"/>
            <w:vAlign w:val="top"/>
          </w:tcPr>
          <w:p>
            <w:r/>
            <w:r>
              <w:rPr>
                <w:rFonts w:ascii="Arial" w:hAnsi="Arial"/>
                <w:b w:val="0"/>
                <w:sz w:val="16"/>
              </w:rPr>
              <w:t>High</w:t>
            </w:r>
          </w:p>
        </w:tc>
        <w:tc>
          <w:tcPr>
            <w:tcW w:type="dxa" w:w="5472"/>
            <w:vAlign w:val="top"/>
          </w:tcPr>
          <w:p>
            <w:r/>
            <w:r>
              <w:rPr>
                <w:rFonts w:ascii="Arial" w:hAnsi="Arial"/>
                <w:b w:val="0"/>
                <w:sz w:val="16"/>
              </w:rPr>
              <w:t>Base first, add chains only after thresholds</w:t>
            </w:r>
          </w:p>
        </w:tc>
      </w:tr>
      <w:tr>
        <w:tc>
          <w:tcPr>
            <w:tcW w:type="dxa" w:w="4608"/>
            <w:vAlign w:val="top"/>
          </w:tcPr>
          <w:p>
            <w:r/>
            <w:r>
              <w:rPr>
                <w:rFonts w:ascii="Arial" w:hAnsi="Arial"/>
                <w:b w:val="0"/>
                <w:sz w:val="16"/>
              </w:rPr>
              <w:t>Fee stack hurts users</w:t>
            </w:r>
          </w:p>
        </w:tc>
        <w:tc>
          <w:tcPr>
            <w:tcW w:type="dxa" w:w="1440"/>
            <w:vAlign w:val="top"/>
          </w:tcPr>
          <w:p>
            <w:r/>
            <w:r>
              <w:rPr>
                <w:rFonts w:ascii="Arial" w:hAnsi="Arial"/>
                <w:b w:val="0"/>
                <w:sz w:val="16"/>
              </w:rPr>
              <w:t>Medium</w:t>
            </w:r>
          </w:p>
        </w:tc>
        <w:tc>
          <w:tcPr>
            <w:tcW w:type="dxa" w:w="5472"/>
            <w:vAlign w:val="top"/>
          </w:tcPr>
          <w:p>
            <w:r/>
            <w:r>
              <w:rPr>
                <w:rFonts w:ascii="Arial" w:hAnsi="Arial"/>
                <w:b w:val="0"/>
                <w:sz w:val="16"/>
              </w:rPr>
              <w:t>Best-execution threshold and transparent quotes</w:t>
            </w:r>
          </w:p>
        </w:tc>
      </w:tr>
      <w:tr>
        <w:tc>
          <w:tcPr>
            <w:tcW w:type="dxa" w:w="4608"/>
            <w:vAlign w:val="top"/>
          </w:tcPr>
          <w:p>
            <w:r/>
            <w:r>
              <w:rPr>
                <w:rFonts w:ascii="Arial" w:hAnsi="Arial"/>
                <w:b w:val="0"/>
                <w:sz w:val="16"/>
              </w:rPr>
              <w:t>Pump fees fluctuate</w:t>
            </w:r>
          </w:p>
        </w:tc>
        <w:tc>
          <w:tcPr>
            <w:tcW w:type="dxa" w:w="1440"/>
            <w:vAlign w:val="top"/>
          </w:tcPr>
          <w:p>
            <w:r/>
            <w:r>
              <w:rPr>
                <w:rFonts w:ascii="Arial" w:hAnsi="Arial"/>
                <w:b w:val="0"/>
                <w:sz w:val="16"/>
              </w:rPr>
              <w:t>Medium</w:t>
            </w:r>
          </w:p>
        </w:tc>
        <w:tc>
          <w:tcPr>
            <w:tcW w:type="dxa" w:w="5472"/>
            <w:vAlign w:val="top"/>
          </w:tcPr>
          <w:p>
            <w:r/>
            <w:r>
              <w:rPr>
                <w:rFonts w:ascii="Arial" w:hAnsi="Arial"/>
                <w:b w:val="0"/>
                <w:sz w:val="16"/>
              </w:rPr>
              <w:t>Treat Pump as accelerator, not guaranteed yield</w:t>
            </w:r>
          </w:p>
        </w:tc>
      </w:tr>
      <w:tr>
        <w:tc>
          <w:tcPr>
            <w:tcW w:type="dxa" w:w="4608"/>
            <w:vAlign w:val="top"/>
          </w:tcPr>
          <w:p>
            <w:r/>
            <w:r>
              <w:rPr>
                <w:rFonts w:ascii="Arial" w:hAnsi="Arial"/>
                <w:b w:val="0"/>
                <w:sz w:val="16"/>
              </w:rPr>
              <w:t>Market maker creates reputational risk</w:t>
            </w:r>
          </w:p>
        </w:tc>
        <w:tc>
          <w:tcPr>
            <w:tcW w:type="dxa" w:w="1440"/>
            <w:vAlign w:val="top"/>
          </w:tcPr>
          <w:p>
            <w:r/>
            <w:r>
              <w:rPr>
                <w:rFonts w:ascii="Arial" w:hAnsi="Arial"/>
                <w:b w:val="0"/>
                <w:sz w:val="16"/>
              </w:rPr>
              <w:t>Medium</w:t>
            </w:r>
          </w:p>
        </w:tc>
        <w:tc>
          <w:tcPr>
            <w:tcW w:type="dxa" w:w="5472"/>
            <w:vAlign w:val="top"/>
          </w:tcPr>
          <w:p>
            <w:r/>
            <w:r>
              <w:rPr>
                <w:rFonts w:ascii="Arial" w:hAnsi="Arial"/>
                <w:b w:val="0"/>
                <w:sz w:val="16"/>
              </w:rPr>
              <w:t>No-wash mandate, public reports, inventory limits</w:t>
            </w:r>
          </w:p>
        </w:tc>
      </w:tr>
      <w:tr>
        <w:tc>
          <w:tcPr>
            <w:tcW w:type="dxa" w:w="4608"/>
            <w:vAlign w:val="top"/>
          </w:tcPr>
          <w:p>
            <w:r/>
            <w:r>
              <w:rPr>
                <w:rFonts w:ascii="Arial" w:hAnsi="Arial"/>
                <w:b w:val="0"/>
                <w:sz w:val="16"/>
              </w:rPr>
              <w:t>Treasury hot-wallet risk</w:t>
            </w:r>
          </w:p>
        </w:tc>
        <w:tc>
          <w:tcPr>
            <w:tcW w:type="dxa" w:w="1440"/>
            <w:vAlign w:val="top"/>
          </w:tcPr>
          <w:p>
            <w:r/>
            <w:r>
              <w:rPr>
                <w:rFonts w:ascii="Arial" w:hAnsi="Arial"/>
                <w:b w:val="0"/>
                <w:sz w:val="16"/>
              </w:rPr>
              <w:t>High</w:t>
            </w:r>
          </w:p>
        </w:tc>
        <w:tc>
          <w:tcPr>
            <w:tcW w:type="dxa" w:w="5472"/>
            <w:vAlign w:val="top"/>
          </w:tcPr>
          <w:p>
            <w:r/>
            <w:r>
              <w:rPr>
                <w:rFonts w:ascii="Arial" w:hAnsi="Arial"/>
                <w:b w:val="0"/>
                <w:sz w:val="16"/>
              </w:rPr>
              <w:t>Multisig, caps, sweep rules, approval gates</w:t>
            </w:r>
          </w:p>
        </w:tc>
      </w:tr>
      <w:tr>
        <w:tc>
          <w:tcPr>
            <w:tcW w:type="dxa" w:w="4608"/>
            <w:vAlign w:val="top"/>
          </w:tcPr>
          <w:p>
            <w:r/>
            <w:r>
              <w:rPr>
                <w:rFonts w:ascii="Arial" w:hAnsi="Arial"/>
                <w:b w:val="0"/>
                <w:sz w:val="16"/>
              </w:rPr>
              <w:t>Dashboard inconsistency</w:t>
            </w:r>
          </w:p>
        </w:tc>
        <w:tc>
          <w:tcPr>
            <w:tcW w:type="dxa" w:w="1440"/>
            <w:vAlign w:val="top"/>
          </w:tcPr>
          <w:p>
            <w:r/>
            <w:r>
              <w:rPr>
                <w:rFonts w:ascii="Arial" w:hAnsi="Arial"/>
                <w:b w:val="0"/>
                <w:sz w:val="16"/>
              </w:rPr>
              <w:t>High</w:t>
            </w:r>
          </w:p>
        </w:tc>
        <w:tc>
          <w:tcPr>
            <w:tcW w:type="dxa" w:w="5472"/>
            <w:vAlign w:val="top"/>
          </w:tcPr>
          <w:p>
            <w:r/>
            <w:r>
              <w:rPr>
                <w:rFonts w:ascii="Arial" w:hAnsi="Arial"/>
                <w:b w:val="0"/>
                <w:sz w:val="16"/>
              </w:rPr>
              <w:t>Reconciliation jobs and proof hashes</w:t>
            </w:r>
          </w:p>
        </w:tc>
      </w:tr>
    </w:tbl>
    <w:p/>
    <w:p>
      <w:pPr>
        <w:pStyle w:val="Heading2"/>
      </w:pPr>
      <w:r>
        <w:rPr>
          <w:b w:val="0"/>
        </w:rPr>
        <w:t>Launch Checklist</w:t>
      </w:r>
    </w:p>
    <w:p>
      <w:r>
        <w:rPr>
          <w:b/>
        </w:rPr>
        <w:t xml:space="preserve">☐ </w:t>
      </w:r>
      <w:r>
        <w:t>Token decimals verified on Solana</w:t>
      </w:r>
    </w:p>
    <w:p>
      <w:r>
        <w:rPr>
          <w:b/>
        </w:rPr>
        <w:t xml:space="preserve">☐ </w:t>
      </w:r>
      <w:r>
        <w:t>All hardcoded decimals removed or chain-verified</w:t>
      </w:r>
    </w:p>
    <w:p>
      <w:r>
        <w:rPr>
          <w:b/>
        </w:rPr>
        <w:t xml:space="preserve">☐ </w:t>
      </w:r>
      <w:r>
        <w:t>Base ERC-20 verified on explorer</w:t>
      </w:r>
    </w:p>
    <w:p>
      <w:r>
        <w:rPr>
          <w:b/>
        </w:rPr>
        <w:t xml:space="preserve">☐ </w:t>
      </w:r>
      <w:r>
        <w:t>NTT Base route tested both directions</w:t>
      </w:r>
    </w:p>
    <w:p>
      <w:r>
        <w:rPr>
          <w:b/>
        </w:rPr>
        <w:t xml:space="preserve">☐ </w:t>
      </w:r>
      <w:r>
        <w:t>PoolRegistry live</w:t>
      </w:r>
    </w:p>
    <w:p>
      <w:r>
        <w:rPr>
          <w:b/>
        </w:rPr>
        <w:t xml:space="preserve">☐ </w:t>
      </w:r>
      <w:r>
        <w:t>Base 555/USDC pool live</w:t>
      </w:r>
    </w:p>
    <w:p>
      <w:r>
        <w:rPr>
          <w:b/>
        </w:rPr>
        <w:t xml:space="preserve">☐ </w:t>
      </w:r>
      <w:r>
        <w:t>GlobalStakeVault live</w:t>
      </w:r>
    </w:p>
    <w:p>
      <w:r>
        <w:rPr>
          <w:b/>
        </w:rPr>
        <w:t xml:space="preserve">☐ </w:t>
      </w:r>
      <w:r>
        <w:t>LPVault live</w:t>
      </w:r>
    </w:p>
    <w:p>
      <w:r>
        <w:rPr>
          <w:b/>
        </w:rPr>
        <w:t xml:space="preserve">☐ </w:t>
      </w:r>
      <w:r>
        <w:t>POL vault live</w:t>
      </w:r>
    </w:p>
    <w:p>
      <w:r>
        <w:rPr>
          <w:b/>
        </w:rPr>
        <w:t xml:space="preserve">☐ </w:t>
      </w:r>
      <w:r>
        <w:t>SW4P route guardrails live</w:t>
      </w:r>
    </w:p>
    <w:p>
      <w:r>
        <w:rPr>
          <w:b/>
        </w:rPr>
        <w:t xml:space="preserve">☐ </w:t>
      </w:r>
      <w:r>
        <w:t>Fee event ledger live</w:t>
      </w:r>
    </w:p>
    <w:p>
      <w:r>
        <w:rPr>
          <w:b/>
        </w:rPr>
        <w:t xml:space="preserve">☐ </w:t>
      </w:r>
      <w:r>
        <w:t>Pump fee ingest/accounting live</w:t>
      </w:r>
    </w:p>
    <w:p>
      <w:r>
        <w:rPr>
          <w:b/>
        </w:rPr>
        <w:t xml:space="preserve">☐ </w:t>
      </w:r>
      <w:r>
        <w:t>Dashboard live</w:t>
      </w:r>
    </w:p>
    <w:p>
      <w:r>
        <w:rPr>
          <w:b/>
        </w:rPr>
        <w:t xml:space="preserve">☐ </w:t>
      </w:r>
      <w:r>
        <w:t>APY source separation live</w:t>
      </w:r>
    </w:p>
    <w:p>
      <w:r>
        <w:rPr>
          <w:b/>
        </w:rPr>
        <w:t xml:space="preserve">☐ </w:t>
      </w:r>
      <w:r>
        <w:t>Anti-wash filters live</w:t>
      </w:r>
    </w:p>
    <w:p>
      <w:r>
        <w:rPr>
          <w:b/>
        </w:rPr>
        <w:t xml:space="preserve">☐ </w:t>
      </w:r>
      <w:r>
        <w:t>Pause/runbook tested</w:t>
      </w:r>
    </w:p>
    <w:p>
      <w:r>
        <w:rPr>
          <w:b/>
        </w:rPr>
        <w:t xml:space="preserve">☐ </w:t>
      </w:r>
      <w:r>
        <w:t>Low-value canaries pass</w:t>
      </w:r>
    </w:p>
    <w:p>
      <w:r>
        <w:rPr>
          <w:b/>
        </w:rPr>
        <w:t xml:space="preserve">☐ </w:t>
      </w:r>
      <w:r>
        <w:t>Public launch note published</w:t>
      </w:r>
    </w:p>
    <w:p>
      <w:pPr>
        <w:pStyle w:val="Heading1"/>
      </w:pPr>
      <w:r>
        <w:rPr>
          <w:b w:val="0"/>
        </w:rPr>
        <w:t>Final Expert Recommendation</w:t>
      </w:r>
    </w:p>
    <w:p>
      <w:r>
        <w:rPr>
          <w:b w:val="0"/>
        </w:rPr>
        <w:t>Ship Base-only SW4P Earn first. Do not spread the 100M program across several EVM chains immediately. The first public milestone should be: Base 555 is live, backed by NTT, with a transparent 555/USDC pool, SW4P routing, staking, LP rewards, Pump fee accounting, and a public proof dashboard.</w:t>
      </w:r>
    </w:p>
    <w:p>
      <w:r>
        <w:rPr>
          <w:b w:val="0"/>
        </w:rPr>
        <w:t>Once Base proves real routed volume, grow the system by increasing Base route caps, adding external USDC LP campaigns, enabling Matched 555 Vault, expanding to Arbitrum, expanding to Polygon, and adding a market-maker mandate only after liquidity and volume justify it.</w:t>
      </w:r>
    </w:p>
    <w:p>
      <w:pPr>
        <w:pStyle w:val="Heading1"/>
      </w:pPr>
      <w:r>
        <w:rPr>
          <w:b w:val="0"/>
        </w:rPr>
        <w:t>Appendix — Reference Facts Used</w:t>
      </w:r>
    </w:p>
    <w:tbl>
      <w:tblPr>
        <w:tblStyle w:val="TableGrid"/>
        <w:tblW w:type="auto" w:w="0"/>
        <w:jc w:val="center"/>
        <w:tblLook w:firstColumn="1" w:firstRow="1" w:lastColumn="0" w:lastRow="0" w:noHBand="0" w:noVBand="1" w:val="04A0"/>
      </w:tblPr>
      <w:tblGrid>
        <w:gridCol w:w="5184"/>
        <w:gridCol w:w="5184"/>
      </w:tblGrid>
      <w:tr>
        <w:tc>
          <w:tcPr>
            <w:tcW w:type="dxa" w:w="3168"/>
            <w:shd w:fill="111827"/>
            <w:vAlign w:val="top"/>
          </w:tcPr>
          <w:p>
            <w:r/>
            <w:r>
              <w:rPr>
                <w:rFonts w:ascii="Arial" w:hAnsi="Arial"/>
                <w:b/>
                <w:color w:val="FFFFFF"/>
                <w:sz w:val="16"/>
              </w:rPr>
              <w:t>Reference area</w:t>
            </w:r>
          </w:p>
        </w:tc>
        <w:tc>
          <w:tcPr>
            <w:tcW w:type="dxa" w:w="8064"/>
            <w:shd w:fill="111827"/>
            <w:vAlign w:val="top"/>
          </w:tcPr>
          <w:p>
            <w:r/>
            <w:r>
              <w:rPr>
                <w:rFonts w:ascii="Arial" w:hAnsi="Arial"/>
                <w:b/>
                <w:color w:val="FFFFFF"/>
                <w:sz w:val="16"/>
              </w:rPr>
              <w:t>Use in this plan</w:t>
            </w:r>
          </w:p>
        </w:tc>
      </w:tr>
      <w:tr>
        <w:tc>
          <w:tcPr>
            <w:tcW w:type="dxa" w:w="3168"/>
            <w:vAlign w:val="top"/>
          </w:tcPr>
          <w:p>
            <w:r/>
            <w:r>
              <w:rPr>
                <w:rFonts w:ascii="Arial" w:hAnsi="Arial"/>
                <w:b w:val="0"/>
                <w:sz w:val="16"/>
              </w:rPr>
              <w:t>Wormhole NTT</w:t>
            </w:r>
          </w:p>
        </w:tc>
        <w:tc>
          <w:tcPr>
            <w:tcW w:type="dxa" w:w="8064"/>
            <w:vAlign w:val="top"/>
          </w:tcPr>
          <w:p>
            <w:r/>
            <w:r>
              <w:rPr>
                <w:rFonts w:ascii="Arial" w:hAnsi="Arial"/>
                <w:b w:val="0"/>
                <w:sz w:val="16"/>
              </w:rPr>
              <w:t>Cross-chain native token topology, hub-and-spoke supply model, rate-limit/accounting concepts</w:t>
            </w:r>
          </w:p>
        </w:tc>
      </w:tr>
      <w:tr>
        <w:tc>
          <w:tcPr>
            <w:tcW w:type="dxa" w:w="3168"/>
            <w:vAlign w:val="top"/>
          </w:tcPr>
          <w:p>
            <w:r/>
            <w:r>
              <w:rPr>
                <w:rFonts w:ascii="Arial" w:hAnsi="Arial"/>
                <w:b w:val="0"/>
                <w:sz w:val="16"/>
              </w:rPr>
              <w:t>Uniswap fee tiers</w:t>
            </w:r>
          </w:p>
        </w:tc>
        <w:tc>
          <w:tcPr>
            <w:tcW w:type="dxa" w:w="8064"/>
            <w:vAlign w:val="top"/>
          </w:tcPr>
          <w:p>
            <w:r/>
            <w:r>
              <w:rPr>
                <w:rFonts w:ascii="Arial" w:hAnsi="Arial"/>
                <w:b w:val="0"/>
                <w:sz w:val="16"/>
              </w:rPr>
              <w:t>LPs earn fees from pools they support; 0.30% is a common volatile-pair tier</w:t>
            </w:r>
          </w:p>
        </w:tc>
      </w:tr>
      <w:tr>
        <w:tc>
          <w:tcPr>
            <w:tcW w:type="dxa" w:w="3168"/>
            <w:vAlign w:val="top"/>
          </w:tcPr>
          <w:p>
            <w:r/>
            <w:r>
              <w:rPr>
                <w:rFonts w:ascii="Arial" w:hAnsi="Arial"/>
                <w:b w:val="0"/>
                <w:sz w:val="16"/>
              </w:rPr>
              <w:t>Pump fee docs</w:t>
            </w:r>
          </w:p>
        </w:tc>
        <w:tc>
          <w:tcPr>
            <w:tcW w:type="dxa" w:w="8064"/>
            <w:vAlign w:val="top"/>
          </w:tcPr>
          <w:p>
            <w:r/>
            <w:r>
              <w:rPr>
                <w:rFonts w:ascii="Arial" w:hAnsi="Arial"/>
                <w:b w:val="0"/>
                <w:sz w:val="16"/>
              </w:rPr>
              <w:t>Creator fees exist on bonding curve/PumpSwap and can be modeled as liquidity accelerator</w:t>
            </w:r>
          </w:p>
        </w:tc>
      </w:tr>
      <w:tr>
        <w:tc>
          <w:tcPr>
            <w:tcW w:type="dxa" w:w="3168"/>
            <w:vAlign w:val="top"/>
          </w:tcPr>
          <w:p>
            <w:r/>
            <w:r>
              <w:rPr>
                <w:rFonts w:ascii="Arial" w:hAnsi="Arial"/>
                <w:b w:val="0"/>
                <w:sz w:val="16"/>
              </w:rPr>
              <w:t>RNDRNTWRK economics</w:t>
            </w:r>
          </w:p>
        </w:tc>
        <w:tc>
          <w:tcPr>
            <w:tcW w:type="dxa" w:w="8064"/>
            <w:vAlign w:val="top"/>
          </w:tcPr>
          <w:p>
            <w:r/>
            <w:r>
              <w:rPr>
                <w:rFonts w:ascii="Arial" w:hAnsi="Arial"/>
                <w:b w:val="0"/>
                <w:sz w:val="16"/>
              </w:rPr>
              <w:t>ARP, creator/platform, and 20/5/5/70 platform allocation</w:t>
            </w:r>
          </w:p>
        </w:tc>
      </w:tr>
      <w:tr>
        <w:tc>
          <w:tcPr>
            <w:tcW w:type="dxa" w:w="3168"/>
            <w:vAlign w:val="top"/>
          </w:tcPr>
          <w:p>
            <w:r/>
            <w:r>
              <w:rPr>
                <w:rFonts w:ascii="Arial" w:hAnsi="Arial"/>
                <w:b w:val="0"/>
                <w:sz w:val="16"/>
              </w:rPr>
              <w:t>SW4P fee model</w:t>
            </w:r>
          </w:p>
        </w:tc>
        <w:tc>
          <w:tcPr>
            <w:tcW w:type="dxa" w:w="8064"/>
            <w:vAlign w:val="top"/>
          </w:tcPr>
          <w:p>
            <w:r/>
            <w:r>
              <w:rPr>
                <w:rFonts w:ascii="Arial" w:hAnsi="Arial"/>
                <w:b w:val="0"/>
                <w:sz w:val="16"/>
              </w:rPr>
              <w:t>50 bps protocol fee assumption</w:t>
            </w:r>
          </w:p>
        </w:tc>
      </w:tr>
    </w:tbl>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SW4P Earn Execution Plan, TRD, and SOW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