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9E205E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25MW/50MWH级联储能关键数据</w:t>
      </w:r>
    </w:p>
    <w:p w14:paraId="1B39A699"/>
    <w:p w14:paraId="6FE5B791"/>
    <w:p w14:paraId="5EE15E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系统关键参数</w:t>
      </w:r>
    </w:p>
    <w:p w14:paraId="58BFD30F">
      <w:r>
        <w:drawing>
          <wp:inline distT="0" distB="0" distL="114300" distR="114300">
            <wp:extent cx="5724525" cy="2187575"/>
            <wp:effectExtent l="0" t="0" r="5715" b="698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0C50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 模块原理图</w:t>
      </w:r>
    </w:p>
    <w:p w14:paraId="77860592">
      <w:pPr>
        <w:rPr>
          <w:rFonts w:hint="default"/>
          <w:lang w:val="en-US" w:eastAsia="zh-CN"/>
        </w:rPr>
      </w:pPr>
    </w:p>
    <w:p w14:paraId="40BEB83C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 系统参数</w:t>
      </w:r>
    </w:p>
    <w:tbl>
      <w:tblPr>
        <w:tblStyle w:val="3"/>
        <w:tblW w:w="0" w:type="auto"/>
        <w:tblInd w:w="106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77"/>
        <w:gridCol w:w="1855"/>
        <w:gridCol w:w="2596"/>
        <w:gridCol w:w="2131"/>
      </w:tblGrid>
      <w:tr w14:paraId="430EBB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77" w:type="dxa"/>
          </w:tcPr>
          <w:p w14:paraId="5BC099A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855" w:type="dxa"/>
          </w:tcPr>
          <w:p w14:paraId="1F3190A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596" w:type="dxa"/>
          </w:tcPr>
          <w:p w14:paraId="1CFED8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指标</w:t>
            </w:r>
          </w:p>
        </w:tc>
        <w:tc>
          <w:tcPr>
            <w:tcW w:w="2131" w:type="dxa"/>
          </w:tcPr>
          <w:p w14:paraId="7A81F68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 w14:paraId="6C8973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77" w:type="dxa"/>
          </w:tcPr>
          <w:p w14:paraId="376E4CE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855" w:type="dxa"/>
          </w:tcPr>
          <w:p w14:paraId="12BFE98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系统电压</w:t>
            </w:r>
          </w:p>
        </w:tc>
        <w:tc>
          <w:tcPr>
            <w:tcW w:w="2596" w:type="dxa"/>
          </w:tcPr>
          <w:p w14:paraId="49621FE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30KV-40.5KV</w:t>
            </w:r>
          </w:p>
        </w:tc>
        <w:tc>
          <w:tcPr>
            <w:tcW w:w="2131" w:type="dxa"/>
          </w:tcPr>
          <w:p w14:paraId="1284D08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325CA8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77" w:type="dxa"/>
          </w:tcPr>
          <w:p w14:paraId="3107547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855" w:type="dxa"/>
          </w:tcPr>
          <w:p w14:paraId="5AB669F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频率</w:t>
            </w:r>
          </w:p>
        </w:tc>
        <w:tc>
          <w:tcPr>
            <w:tcW w:w="2596" w:type="dxa"/>
          </w:tcPr>
          <w:p w14:paraId="216D7FB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47.5-52.5Hz</w:t>
            </w:r>
          </w:p>
        </w:tc>
        <w:tc>
          <w:tcPr>
            <w:tcW w:w="2131" w:type="dxa"/>
          </w:tcPr>
          <w:p w14:paraId="21EED12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2036B5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77" w:type="dxa"/>
          </w:tcPr>
          <w:p w14:paraId="35A1DA9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855" w:type="dxa"/>
          </w:tcPr>
          <w:p w14:paraId="0816C72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输入电感</w:t>
            </w:r>
          </w:p>
        </w:tc>
        <w:tc>
          <w:tcPr>
            <w:tcW w:w="2596" w:type="dxa"/>
          </w:tcPr>
          <w:p w14:paraId="0DF8464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8%电抗率（25M为标准）</w:t>
            </w:r>
          </w:p>
        </w:tc>
        <w:tc>
          <w:tcPr>
            <w:tcW w:w="2131" w:type="dxa"/>
          </w:tcPr>
          <w:p w14:paraId="65FCC38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每相均相同</w:t>
            </w:r>
          </w:p>
        </w:tc>
      </w:tr>
      <w:tr w14:paraId="4755C4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77" w:type="dxa"/>
          </w:tcPr>
          <w:p w14:paraId="0053DBC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855" w:type="dxa"/>
          </w:tcPr>
          <w:p w14:paraId="133A24E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功率模块级联数</w:t>
            </w:r>
          </w:p>
        </w:tc>
        <w:tc>
          <w:tcPr>
            <w:tcW w:w="2596" w:type="dxa"/>
          </w:tcPr>
          <w:p w14:paraId="5AB5981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58个</w:t>
            </w:r>
          </w:p>
        </w:tc>
        <w:tc>
          <w:tcPr>
            <w:tcW w:w="2131" w:type="dxa"/>
          </w:tcPr>
          <w:p w14:paraId="07FCD8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144839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77" w:type="dxa"/>
          </w:tcPr>
          <w:p w14:paraId="1D9794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855" w:type="dxa"/>
          </w:tcPr>
          <w:p w14:paraId="7A46709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模块开关频率</w:t>
            </w:r>
          </w:p>
        </w:tc>
        <w:tc>
          <w:tcPr>
            <w:tcW w:w="2596" w:type="dxa"/>
          </w:tcPr>
          <w:p w14:paraId="7D3412A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1000Hz</w:t>
            </w:r>
          </w:p>
        </w:tc>
        <w:tc>
          <w:tcPr>
            <w:tcW w:w="2131" w:type="dxa"/>
          </w:tcPr>
          <w:p w14:paraId="186347B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006C8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77" w:type="dxa"/>
          </w:tcPr>
          <w:p w14:paraId="78CC3DC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855" w:type="dxa"/>
          </w:tcPr>
          <w:p w14:paraId="5C47F1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额定电流</w:t>
            </w:r>
          </w:p>
        </w:tc>
        <w:tc>
          <w:tcPr>
            <w:tcW w:w="2596" w:type="dxa"/>
          </w:tcPr>
          <w:p w14:paraId="386851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420A</w:t>
            </w:r>
          </w:p>
        </w:tc>
        <w:tc>
          <w:tcPr>
            <w:tcW w:w="2131" w:type="dxa"/>
          </w:tcPr>
          <w:p w14:paraId="77F767A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47EC0A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877" w:type="dxa"/>
          </w:tcPr>
          <w:p w14:paraId="4AAEAAF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855" w:type="dxa"/>
          </w:tcPr>
          <w:p w14:paraId="592CF0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过载能力</w:t>
            </w:r>
          </w:p>
        </w:tc>
        <w:tc>
          <w:tcPr>
            <w:tcW w:w="2596" w:type="dxa"/>
          </w:tcPr>
          <w:p w14:paraId="3B58A8E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3p.u./10s</w:t>
            </w:r>
          </w:p>
        </w:tc>
        <w:tc>
          <w:tcPr>
            <w:tcW w:w="2131" w:type="dxa"/>
          </w:tcPr>
          <w:p w14:paraId="2014C9D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796514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877" w:type="dxa"/>
          </w:tcPr>
          <w:p w14:paraId="2DB849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855" w:type="dxa"/>
          </w:tcPr>
          <w:p w14:paraId="0895B0B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电池容量</w:t>
            </w:r>
          </w:p>
        </w:tc>
        <w:tc>
          <w:tcPr>
            <w:tcW w:w="2596" w:type="dxa"/>
          </w:tcPr>
          <w:p w14:paraId="5CA8FE2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314AH/312串</w:t>
            </w:r>
          </w:p>
        </w:tc>
        <w:tc>
          <w:tcPr>
            <w:tcW w:w="2131" w:type="dxa"/>
          </w:tcPr>
          <w:p w14:paraId="03BE257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宁德等国内外均可以</w:t>
            </w:r>
          </w:p>
        </w:tc>
      </w:tr>
      <w:tr w14:paraId="264BC1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877" w:type="dxa"/>
          </w:tcPr>
          <w:p w14:paraId="18CFC81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855" w:type="dxa"/>
          </w:tcPr>
          <w:p w14:paraId="296D53D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模块母线电容</w:t>
            </w:r>
          </w:p>
        </w:tc>
        <w:tc>
          <w:tcPr>
            <w:tcW w:w="2596" w:type="dxa"/>
          </w:tcPr>
          <w:p w14:paraId="545CB7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15mF</w:t>
            </w:r>
          </w:p>
        </w:tc>
        <w:tc>
          <w:tcPr>
            <w:tcW w:w="2131" w:type="dxa"/>
          </w:tcPr>
          <w:p w14:paraId="0FBD3F0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2E825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877" w:type="dxa"/>
          </w:tcPr>
          <w:p w14:paraId="316B53F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855" w:type="dxa"/>
          </w:tcPr>
          <w:p w14:paraId="64403DC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直流滤波器</w:t>
            </w:r>
          </w:p>
        </w:tc>
        <w:tc>
          <w:tcPr>
            <w:tcW w:w="2596" w:type="dxa"/>
          </w:tcPr>
          <w:p w14:paraId="26A581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0.5mH</w:t>
            </w:r>
          </w:p>
        </w:tc>
        <w:tc>
          <w:tcPr>
            <w:tcW w:w="2131" w:type="dxa"/>
          </w:tcPr>
          <w:p w14:paraId="3A32292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母线电容和电池</w:t>
            </w:r>
          </w:p>
        </w:tc>
      </w:tr>
      <w:tr w14:paraId="784EC6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877" w:type="dxa"/>
          </w:tcPr>
          <w:p w14:paraId="00915FB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855" w:type="dxa"/>
          </w:tcPr>
          <w:p w14:paraId="4260A7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水冷进水温度</w:t>
            </w:r>
          </w:p>
        </w:tc>
        <w:tc>
          <w:tcPr>
            <w:tcW w:w="2596" w:type="dxa"/>
          </w:tcPr>
          <w:p w14:paraId="148C52F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25度</w:t>
            </w:r>
          </w:p>
        </w:tc>
        <w:tc>
          <w:tcPr>
            <w:tcW w:w="2131" w:type="dxa"/>
          </w:tcPr>
          <w:p w14:paraId="149021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不考虑乙二醇等</w:t>
            </w:r>
          </w:p>
        </w:tc>
      </w:tr>
      <w:tr w14:paraId="607E3C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877" w:type="dxa"/>
          </w:tcPr>
          <w:p w14:paraId="18C049D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1855" w:type="dxa"/>
          </w:tcPr>
          <w:p w14:paraId="2CC29C1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功率器件</w:t>
            </w:r>
          </w:p>
        </w:tc>
        <w:tc>
          <w:tcPr>
            <w:tcW w:w="2596" w:type="dxa"/>
          </w:tcPr>
          <w:p w14:paraId="4F9FBC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1700V/IGBT</w:t>
            </w:r>
          </w:p>
        </w:tc>
        <w:tc>
          <w:tcPr>
            <w:tcW w:w="2131" w:type="dxa"/>
          </w:tcPr>
          <w:p w14:paraId="337B47E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76799A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3" w:hRule="atLeast"/>
        </w:trPr>
        <w:tc>
          <w:tcPr>
            <w:tcW w:w="877" w:type="dxa"/>
          </w:tcPr>
          <w:p w14:paraId="08D749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1855" w:type="dxa"/>
          </w:tcPr>
          <w:p w14:paraId="5493ABE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环境温度</w:t>
            </w:r>
          </w:p>
        </w:tc>
        <w:tc>
          <w:tcPr>
            <w:tcW w:w="2596" w:type="dxa"/>
          </w:tcPr>
          <w:p w14:paraId="2E51630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25度-30度</w:t>
            </w:r>
          </w:p>
        </w:tc>
        <w:tc>
          <w:tcPr>
            <w:tcW w:w="2131" w:type="dxa"/>
          </w:tcPr>
          <w:p w14:paraId="59B1F8D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6C894C03">
      <w:pPr>
        <w:jc w:val="center"/>
        <w:rPr>
          <w:rFonts w:hint="default"/>
          <w:lang w:val="en-US" w:eastAsia="zh-CN"/>
        </w:rPr>
      </w:pPr>
    </w:p>
    <w:p w14:paraId="5B4C9C9F">
      <w:pPr>
        <w:jc w:val="both"/>
        <w:rPr>
          <w:rFonts w:hint="default"/>
          <w:lang w:val="en-US" w:eastAsia="zh-CN"/>
        </w:rPr>
      </w:pPr>
    </w:p>
    <w:p w14:paraId="4B9B18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 主要器件说明</w:t>
      </w:r>
    </w:p>
    <w:p w14:paraId="04812458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IGBT</w:t>
      </w:r>
    </w:p>
    <w:p w14:paraId="6D589F5F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采用英飞凌</w:t>
      </w:r>
      <w:r>
        <w:rPr>
          <w:rFonts w:hint="default"/>
          <w:lang w:val="en-US" w:eastAsia="zh-CN"/>
        </w:rPr>
        <w:t>FF1500R17IP5R</w:t>
      </w:r>
      <w:r>
        <w:rPr>
          <w:rFonts w:hint="eastAsia"/>
          <w:lang w:val="en-US" w:eastAsia="zh-CN"/>
        </w:rPr>
        <w:t>，每个模块2个IGBT其主要的参数为（详见英飞凌官网）：</w:t>
      </w:r>
    </w:p>
    <w:p w14:paraId="2E2C96D8">
      <w:pPr>
        <w:jc w:val="center"/>
      </w:pPr>
      <w:r>
        <w:drawing>
          <wp:inline distT="0" distB="0" distL="114300" distR="114300">
            <wp:extent cx="3768725" cy="3550285"/>
            <wp:effectExtent l="0" t="0" r="1079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D5D454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母线电容</w:t>
      </w:r>
    </w:p>
    <w:p w14:paraId="5796E02B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表2 母线电容</w:t>
      </w: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"/>
        <w:gridCol w:w="1436"/>
        <w:gridCol w:w="925"/>
        <w:gridCol w:w="912"/>
        <w:gridCol w:w="696"/>
        <w:gridCol w:w="999"/>
        <w:gridCol w:w="1065"/>
        <w:gridCol w:w="1698"/>
      </w:tblGrid>
      <w:tr w14:paraId="5B19E8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1" w:type="dxa"/>
            <w:noWrap w:val="0"/>
            <w:vAlign w:val="center"/>
          </w:tcPr>
          <w:p w14:paraId="561F3DA8">
            <w:pPr>
              <w:jc w:val="center"/>
              <w:rPr>
                <w:rFonts w:hint="eastAsia" w:hAnsi="宋体" w:cs="宋体"/>
                <w:sz w:val="22"/>
                <w:szCs w:val="22"/>
              </w:rPr>
            </w:pPr>
            <w:r>
              <w:rPr>
                <w:rFonts w:hint="eastAsia" w:hAnsi="宋体"/>
                <w:sz w:val="22"/>
                <w:szCs w:val="22"/>
              </w:rPr>
              <w:t>器件类型</w:t>
            </w:r>
          </w:p>
        </w:tc>
        <w:tc>
          <w:tcPr>
            <w:tcW w:w="1436" w:type="dxa"/>
            <w:noWrap w:val="0"/>
            <w:vAlign w:val="center"/>
          </w:tcPr>
          <w:p w14:paraId="70C634D9">
            <w:pPr>
              <w:jc w:val="center"/>
              <w:rPr>
                <w:rFonts w:hint="default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额定容量</w:t>
            </w:r>
          </w:p>
        </w:tc>
        <w:tc>
          <w:tcPr>
            <w:tcW w:w="925" w:type="dxa"/>
            <w:noWrap w:val="0"/>
            <w:vAlign w:val="center"/>
          </w:tcPr>
          <w:p w14:paraId="6FA9C085">
            <w:pPr>
              <w:jc w:val="center"/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最大</w:t>
            </w:r>
          </w:p>
          <w:p w14:paraId="0BAFF6F2">
            <w:pPr>
              <w:jc w:val="center"/>
              <w:rPr>
                <w:rFonts w:hint="default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电流</w:t>
            </w:r>
          </w:p>
        </w:tc>
        <w:tc>
          <w:tcPr>
            <w:tcW w:w="912" w:type="dxa"/>
            <w:noWrap w:val="0"/>
            <w:vAlign w:val="center"/>
          </w:tcPr>
          <w:p w14:paraId="17369D81">
            <w:pPr>
              <w:jc w:val="center"/>
              <w:rPr>
                <w:rFonts w:hint="default" w:hAnsi="宋体" w:eastAsia="宋体" w:cs="宋体"/>
                <w:sz w:val="22"/>
                <w:szCs w:val="22"/>
                <w:vertAlign w:val="subscript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ESR</w:t>
            </w:r>
          </w:p>
        </w:tc>
        <w:tc>
          <w:tcPr>
            <w:tcW w:w="0" w:type="auto"/>
            <w:noWrap w:val="0"/>
            <w:vAlign w:val="center"/>
          </w:tcPr>
          <w:p w14:paraId="7CF675B4">
            <w:pPr>
              <w:jc w:val="center"/>
              <w:rPr>
                <w:rFonts w:hint="default" w:hAnsi="宋体" w:eastAsia="宋体" w:cs="宋体"/>
                <w:sz w:val="22"/>
                <w:szCs w:val="22"/>
                <w:vertAlign w:val="subscript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L</w:t>
            </w:r>
            <w:r>
              <w:rPr>
                <w:rFonts w:hint="eastAsia" w:hAnsi="宋体" w:cs="宋体"/>
                <w:sz w:val="22"/>
                <w:szCs w:val="22"/>
                <w:vertAlign w:val="subscript"/>
                <w:lang w:val="en-US" w:eastAsia="zh-CN"/>
              </w:rPr>
              <w:t>S</w:t>
            </w:r>
          </w:p>
        </w:tc>
        <w:tc>
          <w:tcPr>
            <w:tcW w:w="0" w:type="auto"/>
            <w:noWrap w:val="0"/>
            <w:vAlign w:val="center"/>
          </w:tcPr>
          <w:p w14:paraId="27118B0E">
            <w:pPr>
              <w:jc w:val="center"/>
              <w:rPr>
                <w:rFonts w:hint="default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预期寿命</w:t>
            </w:r>
          </w:p>
        </w:tc>
        <w:tc>
          <w:tcPr>
            <w:tcW w:w="0" w:type="auto"/>
            <w:noWrap w:val="0"/>
            <w:vAlign w:val="center"/>
          </w:tcPr>
          <w:p w14:paraId="2BBB1350">
            <w:pPr>
              <w:jc w:val="center"/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运行</w:t>
            </w:r>
          </w:p>
          <w:p w14:paraId="48898FC7">
            <w:pPr>
              <w:jc w:val="center"/>
              <w:rPr>
                <w:rFonts w:hint="default" w:hAnsi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温度</w:t>
            </w:r>
          </w:p>
        </w:tc>
        <w:tc>
          <w:tcPr>
            <w:tcW w:w="0" w:type="auto"/>
            <w:noWrap w:val="0"/>
            <w:vAlign w:val="center"/>
          </w:tcPr>
          <w:p w14:paraId="0F5D7593">
            <w:pPr>
              <w:jc w:val="center"/>
              <w:rPr>
                <w:rFonts w:hint="default" w:hAnsi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hAnsi="宋体" w:cs="宋体"/>
                <w:sz w:val="22"/>
                <w:szCs w:val="22"/>
                <w:vertAlign w:val="baseline"/>
                <w:lang w:val="en-US" w:eastAsia="zh-CN"/>
              </w:rPr>
              <w:t>尺寸</w:t>
            </w:r>
          </w:p>
        </w:tc>
      </w:tr>
      <w:tr w14:paraId="0967D8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1" w:type="dxa"/>
            <w:noWrap w:val="0"/>
            <w:vAlign w:val="center"/>
          </w:tcPr>
          <w:p w14:paraId="6C754080">
            <w:pPr>
              <w:pStyle w:val="5"/>
              <w:jc w:val="center"/>
              <w:rPr>
                <w:rFonts w:hint="eastAsia" w:ascii="宋体" w:hAnsi="宋体" w:cs="宋体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2"/>
                <w:szCs w:val="22"/>
                <w:lang w:val="en-US" w:eastAsia="zh-CN"/>
              </w:rPr>
              <w:t>厦门</w:t>
            </w:r>
          </w:p>
          <w:p w14:paraId="7242AF41">
            <w:pPr>
              <w:pStyle w:val="5"/>
              <w:jc w:val="center"/>
              <w:rPr>
                <w:rFonts w:hint="default" w:ascii="宋体" w:hAnsi="宋体" w:cs="宋体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2"/>
                <w:szCs w:val="22"/>
                <w:lang w:val="en-US" w:eastAsia="zh-CN"/>
              </w:rPr>
              <w:t>法拉</w:t>
            </w:r>
          </w:p>
        </w:tc>
        <w:tc>
          <w:tcPr>
            <w:tcW w:w="1436" w:type="dxa"/>
            <w:noWrap w:val="0"/>
            <w:vAlign w:val="center"/>
          </w:tcPr>
          <w:p w14:paraId="0CBBF9A3">
            <w:pPr>
              <w:jc w:val="center"/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  <w:t>720uF/1200V</w:t>
            </w:r>
          </w:p>
        </w:tc>
        <w:tc>
          <w:tcPr>
            <w:tcW w:w="925" w:type="dxa"/>
            <w:noWrap w:val="0"/>
            <w:vAlign w:val="center"/>
          </w:tcPr>
          <w:p w14:paraId="04E71904">
            <w:pPr>
              <w:jc w:val="center"/>
              <w:rPr>
                <w:rFonts w:hint="default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  <w:t>80A</w:t>
            </w:r>
          </w:p>
        </w:tc>
        <w:tc>
          <w:tcPr>
            <w:tcW w:w="912" w:type="dxa"/>
            <w:noWrap w:val="0"/>
            <w:vAlign w:val="center"/>
          </w:tcPr>
          <w:p w14:paraId="1E419CD5">
            <w:pPr>
              <w:jc w:val="center"/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  <w:t>1.2mΩ</w:t>
            </w:r>
          </w:p>
        </w:tc>
        <w:tc>
          <w:tcPr>
            <w:tcW w:w="0" w:type="auto"/>
            <w:noWrap w:val="0"/>
            <w:vAlign w:val="center"/>
          </w:tcPr>
          <w:p w14:paraId="1F751751">
            <w:pPr>
              <w:jc w:val="center"/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  <w:t>45nH</w:t>
            </w:r>
          </w:p>
        </w:tc>
        <w:tc>
          <w:tcPr>
            <w:tcW w:w="0" w:type="auto"/>
            <w:noWrap w:val="0"/>
            <w:vAlign w:val="center"/>
          </w:tcPr>
          <w:p w14:paraId="364FA5F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100000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h</w:t>
            </w:r>
          </w:p>
          <w:p w14:paraId="63DCD6A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（Θ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op</w:t>
            </w:r>
            <w:r>
              <w:rPr>
                <w:rFonts w:hint="eastAsia"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≤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70</w:t>
            </w:r>
            <w:r>
              <w:rPr>
                <w:rFonts w:hint="eastAsia"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℃）</w:t>
            </w:r>
          </w:p>
        </w:tc>
        <w:tc>
          <w:tcPr>
            <w:tcW w:w="0" w:type="auto"/>
            <w:noWrap w:val="0"/>
            <w:vAlign w:val="center"/>
          </w:tcPr>
          <w:p w14:paraId="623F957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-40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~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70</w:t>
            </w:r>
            <w:r>
              <w:rPr>
                <w:rFonts w:hint="eastAsia"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℃</w:t>
            </w:r>
          </w:p>
        </w:tc>
        <w:tc>
          <w:tcPr>
            <w:tcW w:w="0" w:type="auto"/>
            <w:noWrap w:val="0"/>
            <w:vAlign w:val="center"/>
          </w:tcPr>
          <w:p w14:paraId="768EBAE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D116×H1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74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mm</w:t>
            </w:r>
          </w:p>
        </w:tc>
      </w:tr>
      <w:tr w14:paraId="2FC531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1" w:type="dxa"/>
            <w:noWrap w:val="0"/>
            <w:vAlign w:val="center"/>
          </w:tcPr>
          <w:p w14:paraId="7A8EC95C">
            <w:pPr>
              <w:pStyle w:val="5"/>
              <w:jc w:val="center"/>
              <w:rPr>
                <w:rFonts w:hint="default" w:ascii="宋体" w:hAnsi="宋体" w:cs="宋体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2"/>
                <w:szCs w:val="22"/>
                <w:lang w:val="en-US" w:eastAsia="zh-CN"/>
              </w:rPr>
              <w:t>南通江海</w:t>
            </w:r>
          </w:p>
        </w:tc>
        <w:tc>
          <w:tcPr>
            <w:tcW w:w="1436" w:type="dxa"/>
            <w:noWrap w:val="0"/>
            <w:vAlign w:val="center"/>
          </w:tcPr>
          <w:p w14:paraId="43912180">
            <w:pPr>
              <w:jc w:val="center"/>
              <w:rPr>
                <w:rFonts w:hint="eastAsia" w:hAnsi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  <w:t>720uF/1200V</w:t>
            </w:r>
          </w:p>
        </w:tc>
        <w:tc>
          <w:tcPr>
            <w:tcW w:w="925" w:type="dxa"/>
            <w:noWrap w:val="0"/>
            <w:vAlign w:val="center"/>
          </w:tcPr>
          <w:p w14:paraId="72464AAA">
            <w:pPr>
              <w:jc w:val="center"/>
              <w:rPr>
                <w:rFonts w:hAnsi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</w:rPr>
              <w:t>86A</w:t>
            </w:r>
          </w:p>
        </w:tc>
        <w:tc>
          <w:tcPr>
            <w:tcW w:w="912" w:type="dxa"/>
            <w:noWrap w:val="0"/>
            <w:vAlign w:val="center"/>
          </w:tcPr>
          <w:p w14:paraId="4C95BC17">
            <w:pPr>
              <w:jc w:val="center"/>
              <w:rPr>
                <w:rFonts w:hAnsi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  <w:t>1.2mΩ</w:t>
            </w:r>
          </w:p>
        </w:tc>
        <w:tc>
          <w:tcPr>
            <w:tcW w:w="0" w:type="auto"/>
            <w:noWrap w:val="0"/>
            <w:vAlign w:val="center"/>
          </w:tcPr>
          <w:p w14:paraId="40D2FF6C">
            <w:pPr>
              <w:jc w:val="center"/>
              <w:rPr>
                <w:rFonts w:hint="eastAsia" w:hAnsi="宋体" w:cs="宋体"/>
                <w:b/>
                <w:bCs/>
                <w:color w:val="auto"/>
                <w:sz w:val="22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auto"/>
                <w:sz w:val="22"/>
                <w:szCs w:val="22"/>
                <w:lang w:val="en-US" w:eastAsia="zh-CN"/>
              </w:rPr>
              <w:t>60nH</w:t>
            </w:r>
          </w:p>
        </w:tc>
        <w:tc>
          <w:tcPr>
            <w:tcW w:w="0" w:type="auto"/>
            <w:noWrap w:val="0"/>
            <w:vAlign w:val="center"/>
          </w:tcPr>
          <w:p w14:paraId="26855DF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100000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h</w:t>
            </w:r>
          </w:p>
          <w:p w14:paraId="7126410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（Θ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op</w:t>
            </w:r>
            <w:r>
              <w:rPr>
                <w:rFonts w:hint="eastAsia"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≤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70</w:t>
            </w:r>
            <w:r>
              <w:rPr>
                <w:rFonts w:hint="eastAsia"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℃）</w:t>
            </w:r>
          </w:p>
        </w:tc>
        <w:tc>
          <w:tcPr>
            <w:tcW w:w="0" w:type="auto"/>
            <w:noWrap w:val="0"/>
            <w:vAlign w:val="center"/>
          </w:tcPr>
          <w:p w14:paraId="37D65DB5">
            <w:pPr>
              <w:jc w:val="center"/>
              <w:rPr>
                <w:rFonts w:hint="eastAsia" w:hAnsi="宋体" w:cs="宋体"/>
                <w:color w:val="auto"/>
                <w:sz w:val="22"/>
                <w:szCs w:val="22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-40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~85</w:t>
            </w:r>
            <w:r>
              <w:rPr>
                <w:rFonts w:hint="eastAsia" w:ascii="仿宋" w:hAnsi="仿宋" w:eastAsia="仿宋" w:cs="仿宋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℃</w:t>
            </w:r>
          </w:p>
        </w:tc>
        <w:tc>
          <w:tcPr>
            <w:tcW w:w="0" w:type="auto"/>
            <w:noWrap w:val="0"/>
            <w:vAlign w:val="center"/>
          </w:tcPr>
          <w:p w14:paraId="26770257">
            <w:pPr>
              <w:jc w:val="center"/>
              <w:rPr>
                <w:rFonts w:hint="eastAsia" w:hAnsi="宋体" w:cs="宋体"/>
                <w:color w:val="auto"/>
                <w:sz w:val="22"/>
                <w:szCs w:val="22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D116×H1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75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auto"/>
                <w:kern w:val="0"/>
                <w:sz w:val="22"/>
                <w:szCs w:val="22"/>
                <w:lang w:val="en-US" w:eastAsia="zh-CN" w:bidi="ar"/>
              </w:rPr>
              <w:t>mm</w:t>
            </w:r>
          </w:p>
        </w:tc>
      </w:tr>
    </w:tbl>
    <w:p w14:paraId="012E11E4">
      <w:pPr>
        <w:jc w:val="both"/>
      </w:pPr>
    </w:p>
    <w:p w14:paraId="20059C03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可以选择厦门法拉或者南通江海，数量为21个。</w:t>
      </w:r>
    </w:p>
    <w:p w14:paraId="565A8362">
      <w:pPr>
        <w:jc w:val="both"/>
        <w:rPr>
          <w:rFonts w:hint="default" w:eastAsia="宋体"/>
          <w:bCs/>
          <w:sz w:val="24"/>
          <w:szCs w:val="24"/>
          <w:lang w:val="en-US" w:eastAsia="zh-CN"/>
        </w:rPr>
      </w:pPr>
      <w:r>
        <w:rPr>
          <w:rFonts w:hint="eastAsia" w:eastAsia="宋体"/>
          <w:bCs/>
          <w:sz w:val="24"/>
          <w:szCs w:val="24"/>
          <w:lang w:eastAsia="zh-CN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7" DrawAspect="Icon" ObjectID="_1468075725" r:id="rId6">
            <o:LockedField>false</o:LockedField>
          </o:OLEObject>
        </w:object>
      </w:r>
      <w:r>
        <w:rPr>
          <w:rFonts w:hint="eastAsia" w:eastAsia="宋体"/>
          <w:bCs/>
          <w:sz w:val="24"/>
          <w:szCs w:val="24"/>
          <w:lang w:eastAsia="zh-CN"/>
        </w:rPr>
        <w:object>
          <v:shape id="_x0000_i1028" o:spt="75" type="#_x0000_t75" style="height:66pt;width:72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8" DrawAspect="Icon" ObjectID="_1468075726" r:id="rId8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decorative"/>
    <w:pitch w:val="default"/>
    <w:sig w:usb0="E0002EFF" w:usb1="C000785B" w:usb2="00000009" w:usb3="00000000" w:csb0="400001FF" w:csb1="FFFF0000"/>
  </w:font>
  <w:font w:name="宋体">
    <w:panose1 w:val="02010600030101010101"/>
    <w:charset w:val="4D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2232EA"/>
    <w:rsid w:val="46A5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缺省文本"/>
    <w:basedOn w:val="1"/>
    <w:uiPriority w:val="0"/>
    <w:pPr>
      <w:jc w:val="left"/>
    </w:pPr>
    <w:rPr>
      <w:rFonts w:ascii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2025-06-17T14:27:29Z</dcterms:created>
  <dc:creator>any5</dc:creator>
  <cp:lastModifiedBy>电工</cp:lastModifiedBy>
  <dcterms:modified xsi:type="dcterms:W3CDTF">2025-06-17T14:53:32Z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eyJoZGlkIjoiYTlhYThmZGRjMDY1YTU3NTg4NzU0ODQzMTY3ZmU1NmMiLCJ1c2VySWQiOiIyNzEzMTQ1ODAifQ==</vt:lpwstr>
  </property>
  <property fmtid="{D5CDD505-2E9C-101B-9397-08002B2CF9AE}" pid="4" name="ICV">
    <vt:lpwstr>A77ADC081FCD4BD6B9ADC3318A507590_12</vt:lpwstr>
  </property>
</Properties>
</file>