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RENÊ APARECIDO BUENO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TRATADO DE MUSICOLOGIA E HARMONIA TONAL:</w:t>
        <w:br/>
        <w:t>DA EPISTEMOLOGIA ACÚSTICA ÀS PRÁTICAS INSTRUMENTAIS</w:t>
        <w:br/>
        <w:br/>
        <w:t>VOLUME V - HARMONIA FUNCIONAL EXPANDIDA, DOMINANTES SECUNDÁRIOS E MODULAÇÃO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sz w:val="24"/>
        </w:rPr>
        <w:t>MARINGÁ - PR</w:t>
        <w:br/>
        <w:t>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SUMÁRIO GERAL DA OBRA (MÓDULO V)</w:t>
      </w:r>
    </w:p>
    <w:p>
      <w:pPr>
        <w:spacing w:line="276" w:lineRule="auto"/>
      </w:pPr>
      <w:r>
        <w:t>15. CAPÍTULO X: DOMINANTES SECUNDÁRIOS E EXTENSÕES COGNITIVAS</w:t>
      </w:r>
    </w:p>
    <w:p>
      <w:pPr>
        <w:spacing w:line="276" w:lineRule="auto"/>
      </w:pPr>
      <w:r>
        <w:t xml:space="preserve">    15.1 O Conceito de Tonicização: Alargando as Fronteiras Diatônicas</w:t>
      </w:r>
    </w:p>
    <w:p>
      <w:pPr>
        <w:spacing w:line="276" w:lineRule="auto"/>
      </w:pPr>
      <w:r>
        <w:t xml:space="preserve">    15.2 Mapeamento e Resolução dos Acordes Dominantes Secundários (V7/II, V7/III, V7/IV, V7/V, V7/VI)</w:t>
      </w:r>
    </w:p>
    <w:p>
      <w:pPr>
        <w:spacing w:line="276" w:lineRule="auto"/>
      </w:pPr>
      <w:r>
        <w:t xml:space="preserve">    15.3 Dominantes Estendidos e a Cadeia de Quintas Descendentes</w:t>
      </w:r>
    </w:p>
    <w:p>
      <w:pPr>
        <w:spacing w:line="276" w:lineRule="auto"/>
      </w:pPr>
      <w:r>
        <w:t>16. CAPÍTULO XI: ACORDES DE EMPRÉSTIMO MODAL (AEM) E PROCESSOS MODULATÓRIOS</w:t>
      </w:r>
    </w:p>
    <w:p>
      <w:pPr>
        <w:spacing w:line="276" w:lineRule="auto"/>
      </w:pPr>
      <w:r>
        <w:t xml:space="preserve">    16.1 Intercâmbio Modal: Empréstimos entre os Modos Paralelos Maior e Menor Homônimo</w:t>
      </w:r>
    </w:p>
    <w:p>
      <w:pPr>
        <w:spacing w:line="276" w:lineRule="auto"/>
      </w:pPr>
      <w:r>
        <w:t xml:space="preserve">    16.2 Análise dos Clichês de AEM mais Frequentes (IVm, bVI7M, bVII7M)</w:t>
      </w:r>
    </w:p>
    <w:p>
      <w:pPr>
        <w:spacing w:line="276" w:lineRule="auto"/>
      </w:pPr>
      <w:r>
        <w:t xml:space="preserve">    16.3 Mecânica de Modulação Tonal: Modulação por Acorde Pivô, Direta e por Linha do Baixo</w:t>
      </w:r>
    </w:p>
    <w:p>
      <w:pPr>
        <w:spacing w:line="276" w:lineRule="auto"/>
      </w:pPr>
      <w:r>
        <w:t>17. REFERÊNCIAS BIBLIOGRÁFICAS COMPLEMENTARES (ABNT NBR 6023)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15. CAPÍTULO X: DOMINANTES SECUNDÁRIOS E EXTENSÕES COGNITIVAS</w:t>
      </w:r>
    </w:p>
    <w:p>
      <w:pPr>
        <w:keepNext/>
        <w:spacing w:before="360" w:after="120"/>
      </w:pPr>
      <w:r>
        <w:rPr>
          <w:b/>
          <w:sz w:val="24"/>
        </w:rPr>
        <w:t>15.1 O Conceito de Tonicização: Alargando as Fronteiras Diatônicas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Até este ponto, nossa análise limitou-se ao campo harmônico estrito, onde todas as notas pertencem rigorosamente à escala da tônica principal. No entanto, a música tonal atinge sua maturidade ao romper essa barreira sem perder o centro magnético original. Esse processo inicial é chamado de Tonicização.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Tonicizar significa transformar temporariamente um grau diatônico secundário (como o II ou o V grau) em uma tônica momentânea, criando uma força de atração direcionada a ele através de um acorde de tensão artificial. Diferente da modulação definitiva, a tonicização é breve: o ouvido reconhece a tensão cromática passageira e imediatamente retorna à órbita do tom principal.</w:t>
      </w:r>
    </w:p>
    <w:p>
      <w:pPr>
        <w:keepNext/>
        <w:spacing w:before="360" w:after="120"/>
      </w:pPr>
      <w:r>
        <w:rPr>
          <w:b/>
          <w:sz w:val="24"/>
        </w:rPr>
        <w:t>15.2 Mapeamento e Resolução dos Acordes Dominantes Secundários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 mecanismo mais eficiente de tonicização é o uso de um Dominante Secundário. Trata-se de um acorde maior com sétima menor (X7) construído uma quinta justa acima de qualquer grau diatônico (exceto o VII grau diminuto). Esse acorde introduz uma nota fora da escala original que atua como uma sensível artificial para o acorde alvo.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Tomando o campo harmônico de C Maior como referência, mapeia-se as seguintes estruturas:</w:t>
      </w:r>
    </w:p>
    <w:p>
      <w:pPr>
        <w:spacing w:line="360" w:lineRule="auto" w:after="240"/>
        <w:jc w:val="both"/>
      </w:pPr>
      <w:r>
        <w:rPr>
          <w:b w:val="0"/>
          <w:i w:val="0"/>
        </w:rPr>
        <w:t>- V7/II (A7 preparando Dm): Introduz a nota C#, que funciona como sensível melódica em direção à tônica de Ré menor.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V7/IV (C7 preparando F): Transforma o próprio I grau em dominante através da adição da sétima menor (Bb), empurrando a harmonia para a subdominante.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V7/V (D7 preparando G): Conhecido na tradição erudita como 'Dominante da Dominante'. Introduz a nota F#, gerando uma forte tração sobre o acorde de Mi Maior ou Sol Maior.</w:t>
      </w:r>
    </w:p>
    <w:p>
      <w:pPr>
        <w:keepNext/>
        <w:spacing w:before="360" w:after="120"/>
      </w:pPr>
      <w:r>
        <w:rPr>
          <w:b/>
          <w:sz w:val="24"/>
        </w:rPr>
        <w:t>15.3 Dominantes Estendidos e a Cadeia de Quintas Descendentes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Quando um dominante secundário resolve em outro dominante secundário em vez de resolver em um acorde estável, cria-se uma reação em cadeia conhecida como Dominantes Estendidos. Esse movimento segue rigorosamente o ciclo de quintas estritas no sentido anti-horário (descendente).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Um exemplo prático amplamente utilizado no Jazz e no Choro é a progressão: E7 -&gt; A7 -&gt; D7 -&gt; G7 -&gt; C. Cada acorde prepara o seguinte, mantendo o ouvido em um estado de flutuação tonal constante até o repouso na tônica final. A mecânica de condução de vozes aqui exige que a terça de um acorde se transforme, por semitom, na sétima do acorde subsequente, gerando um efeito de cascata acústica perfeitamente amarrado.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16. CAPÍTULO XI: ACORDES DE EMPRÉSTIMO MODAL E PROCESSOS MODULATÓRIOS</w:t>
      </w:r>
    </w:p>
    <w:p>
      <w:pPr>
        <w:keepNext/>
        <w:spacing w:before="360" w:after="120"/>
      </w:pPr>
      <w:r>
        <w:rPr>
          <w:b/>
          <w:sz w:val="24"/>
        </w:rPr>
        <w:t>16.1 Intercâmbio Modal: Empréstimos entre os Modos Paralelos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 Intercâmbio Modal — ou Acorde de Empréstimo Modal (AEM) — ocorre quando uma composição escrita em um determinado modo (ex: C Maior) importa temporariamente acordes pertencentes ao seu modo homônimo paralelo (ex: C Menor Natural).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Esse recurso não altera a nota tônica da música (que permanece sendo C), mas altera drasticamente a paleta de cores emocionais disponível para o compositor. O brilho solar do modo maior é subitamente matizado pelas sombras e pela melancolia do universo menor, conferindo um caráter sofisticado e cinematográfico ao arranjo sem que haja uma quebra estrutural na tonalidade.</w:t>
      </w:r>
    </w:p>
    <w:p>
      <w:pPr>
        <w:keepNext/>
        <w:spacing w:before="360" w:after="120"/>
      </w:pPr>
      <w:r>
        <w:rPr>
          <w:b/>
          <w:sz w:val="24"/>
        </w:rPr>
        <w:t>16.2 Análise dos Clichês de AEM mais Frequentes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Os acordes importados do modo menor natural mais utilizados na harmonia popular e na Bossa Nova são:</w:t>
      </w:r>
    </w:p>
    <w:p>
      <w:pPr>
        <w:spacing w:line="360" w:lineRule="auto" w:after="240"/>
        <w:jc w:val="both"/>
      </w:pPr>
      <w:r>
        <w:rPr>
          <w:b w:val="0"/>
          <w:i w:val="0"/>
        </w:rPr>
        <w:t>- IVm (Fm em C Maior): O acorde subdominante menor introduz a nota Ab (sexta menor do tom). Sua resolução caminhando de Fm para C cria um dos efeitos mais nostálgicos da música tonal.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bVI7M (Ab7M em C Maior): Um acorde de impacto dramático, construído sobre o sexto grau rebaixado. Funciona como uma subdominante expandida de forte peso acústico.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bVII7M ou bVII7 (Bb7M ou Bb7 em C Maior): Conhecido na MPB como o 'acorde do tom abaixo'. Fornece um balanço suave e cadenciado antes do retorno à tônica.</w:t>
      </w:r>
    </w:p>
    <w:p>
      <w:pPr>
        <w:keepNext/>
        <w:spacing w:before="360" w:after="120"/>
      </w:pPr>
      <w:r>
        <w:rPr>
          <w:b/>
          <w:sz w:val="24"/>
        </w:rPr>
        <w:t>16.3 Mecânica de Modulação Tonal: Métodos de Transição Regional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Enquanto a tonicização altera o foco musical por apenas um ou dois compassos, a Modulação constitui a mudança definitiva de centro gravitacional. A música abandona formalmente a região da tônica antiga e estabelece residência em um novo território tonal. A transição pode ocorrer por três vias principais: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F7FAFC"/>
          </w:tcPr>
          <w:p>
            <w:r>
              <w:rPr>
                <w:b/>
              </w:rPr>
              <w:t>Tipo de Modulação</w:t>
            </w:r>
          </w:p>
        </w:tc>
        <w:tc>
          <w:tcPr>
            <w:tcW w:type="dxa" w:w="3139"/>
            <w:shd w:fill="F7FAFC"/>
          </w:tcPr>
          <w:p>
            <w:r>
              <w:rPr>
                <w:b/>
              </w:rPr>
              <w:t>Mecanismo Operacional</w:t>
            </w:r>
          </w:p>
        </w:tc>
        <w:tc>
          <w:tcPr>
            <w:tcW w:type="dxa" w:w="3139"/>
            <w:shd w:fill="F7FAFC"/>
          </w:tcPr>
          <w:p>
            <w:r>
              <w:rPr>
                <w:b/>
              </w:rPr>
              <w:t>Efeito no Arranjo / Percepção</w:t>
            </w:r>
          </w:p>
        </w:tc>
      </w:tr>
      <w:tr>
        <w:tc>
          <w:tcPr>
            <w:tcW w:type="dxa" w:w="3139"/>
          </w:tcPr>
          <w:p>
            <w:r>
              <w:t>Modulação por Acorde Pivô</w:t>
            </w:r>
          </w:p>
        </w:tc>
        <w:tc>
          <w:tcPr>
            <w:tcW w:type="dxa" w:w="3139"/>
          </w:tcPr>
          <w:p>
            <w:r>
              <w:t>Usa um acorde comum a ambos os campos harmônicos (ex: Am, que é o VI em C e o II em G).</w:t>
            </w:r>
          </w:p>
        </w:tc>
        <w:tc>
          <w:tcPr>
            <w:tcW w:type="dxa" w:w="3139"/>
          </w:tcPr>
          <w:p>
            <w:r>
              <w:t>Suave, gradual e imperceptível ao ouvido desatento.</w:t>
            </w:r>
          </w:p>
        </w:tc>
      </w:tr>
      <w:tr>
        <w:tc>
          <w:tcPr>
            <w:tcW w:type="dxa" w:w="3139"/>
          </w:tcPr>
          <w:p>
            <w:r>
              <w:t>Modulação Direta (Abrupta)</w:t>
            </w:r>
          </w:p>
        </w:tc>
        <w:tc>
          <w:tcPr>
            <w:tcW w:type="dxa" w:w="3139"/>
          </w:tcPr>
          <w:p>
            <w:r>
              <w:t>O arranjo salta para o novo tom sem preparação prévia, geralmente subindo meio tom ou um tom inteiro no refrão.</w:t>
            </w:r>
          </w:p>
        </w:tc>
        <w:tc>
          <w:tcPr>
            <w:tcW w:type="dxa" w:w="3139"/>
          </w:tcPr>
          <w:p>
            <w:r>
              <w:t>Alto impacto energético, muito usada em arranjos pop.</w:t>
            </w:r>
          </w:p>
        </w:tc>
      </w:tr>
      <w:tr>
        <w:tc>
          <w:tcPr>
            <w:tcW w:type="dxa" w:w="3139"/>
          </w:tcPr>
          <w:p>
            <w:r>
              <w:t>Modulação por Linha do Baixo</w:t>
            </w:r>
          </w:p>
        </w:tc>
        <w:tc>
          <w:tcPr>
            <w:tcW w:type="dxa" w:w="3139"/>
          </w:tcPr>
          <w:p>
            <w:r>
              <w:t>O baixo conduz uma linha melódica ou cromática que guia fisicamente as vozes até a nova tônica.</w:t>
            </w:r>
          </w:p>
        </w:tc>
        <w:tc>
          <w:tcPr>
            <w:tcW w:type="dxa" w:w="3139"/>
          </w:tcPr>
          <w:p>
            <w:r>
              <w:t>Linear, refinada e com forte condução mecânica.</w:t>
            </w:r>
          </w:p>
        </w:tc>
      </w:tr>
    </w:tbl>
    <w:p>
      <w:pPr>
        <w:keepNext/>
        <w:spacing w:before="360" w:after="120"/>
      </w:pPr>
      <w:r>
        <w:rPr>
          <w:b/>
          <w:sz w:val="28"/>
        </w:rPr>
        <w:t>17. REFERÊNCIAS BIBLIOGRÁFICAS COMPLEMENTARES (ABNT NBR 6023)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CHEDIAK, Almir. Harmonia e Improvisação: Volume 1. Rio de Janeiro: Lumiar Editora, 1986.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KOELLREUTTER, Hans-Joachim. Harmonia Funcional. 1. ed. São Paulo: Ricordi, 1978.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SCHOENBERG, Arnold. Funções Estruturais da Harmonia. São Paulo: Via Lettera, 2004.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