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RENÊ APARECIDO BUENO</w:t>
      </w:r>
    </w:p>
    <w:p/>
    <w:p/>
    <w:p/>
    <w:p/>
    <w:p/>
    <w:p/>
    <w:p/>
    <w:p/>
    <w:p>
      <w:pPr>
        <w:jc w:val="center"/>
      </w:pPr>
      <w:r>
        <w:rPr>
          <w:b/>
          <w:sz w:val="32"/>
        </w:rPr>
        <w:t>TRATADO DE MUSICOLOGIA E HARMONIA TONAL:</w:t>
        <w:br/>
        <w:t>DA EPISTEMOLOGIA ACÚSTICA ÀS PRÁTICAS INSTRUMENTAIS</w:t>
        <w:br/>
        <w:br/>
        <w:t>VOLUME VI - TENSÕES AVANÇADAS, REARMONIZAÇÃO E ANÁLISE PRÁTICA</w:t>
      </w:r>
    </w:p>
    <w:p/>
    <w:p/>
    <w:p/>
    <w:p/>
    <w:p/>
    <w:p/>
    <w:p/>
    <w:p/>
    <w:p/>
    <w:p/>
    <w:p/>
    <w:p>
      <w:pPr>
        <w:jc w:val="center"/>
      </w:pPr>
      <w:r>
        <w:rPr>
          <w:b/>
          <w:sz w:val="24"/>
        </w:rPr>
        <w:t>MARINGÁ - PR</w:t>
        <w:br/>
        <w:t>2026</w:t>
      </w:r>
    </w:p>
    <w:p>
      <w:r>
        <w:br w:type="page"/>
      </w:r>
    </w:p>
    <w:p>
      <w:pPr>
        <w:keepNext/>
        <w:spacing w:before="360" w:after="120"/>
      </w:pPr>
      <w:r>
        <w:rPr>
          <w:b/>
          <w:sz w:val="28"/>
        </w:rPr>
        <w:t>SUMÁRIO GERAL DA OBRA (MÓDULO VI)</w:t>
      </w:r>
    </w:p>
    <w:p>
      <w:pPr>
        <w:spacing w:line="276" w:lineRule="auto"/>
      </w:pPr>
      <w:r>
        <w:t>18. CAPÍTULO XII: O UNIVERSO DAS EXTENSÕES E TENSÕES HARMÔNICAS</w:t>
      </w:r>
    </w:p>
    <w:p>
      <w:pPr>
        <w:spacing w:line="276" w:lineRule="auto"/>
      </w:pPr>
      <w:r>
        <w:t xml:space="preserve">    18.1 Superestruturas do Acorde: Nonas (9, b9, #9), Décimas Primeiras (11, #11) e Décimas Terceiras (13, b13)</w:t>
      </w:r>
    </w:p>
    <w:p>
      <w:pPr>
        <w:spacing w:line="276" w:lineRule="auto"/>
      </w:pPr>
      <w:r>
        <w:t xml:space="preserve">    18.2 O Conceito de Notas de Evitação (Avoid Notes) na Condução Acústica</w:t>
      </w:r>
    </w:p>
    <w:p>
      <w:pPr>
        <w:spacing w:line="276" w:lineRule="auto"/>
      </w:pPr>
      <w:r>
        <w:t xml:space="preserve">    18.3 Tabela de Tensões Disponíveis por Função Harmônica Diatônica</w:t>
      </w:r>
    </w:p>
    <w:p>
      <w:pPr>
        <w:spacing w:line="276" w:lineRule="auto"/>
      </w:pPr>
      <w:r>
        <w:t>19. CAPÍTULO XIII: ANÁLISE COMPOSICIONAL E APLICAÇÃO EM REARMONIZAÇÃO</w:t>
      </w:r>
    </w:p>
    <w:p>
      <w:pPr>
        <w:spacing w:line="276" w:lineRule="auto"/>
      </w:pPr>
      <w:r>
        <w:t xml:space="preserve">    19.1 Desconstruindo a Série Harmônica e Substituições Avancadas (SubV5)</w:t>
      </w:r>
    </w:p>
    <w:p>
      <w:pPr>
        <w:spacing w:line="276" w:lineRule="auto"/>
      </w:pPr>
      <w:r>
        <w:t xml:space="preserve">    19.2 Estudo de Caso Prático: Rearmonização de uma Linha Melódica Simples</w:t>
      </w:r>
    </w:p>
    <w:p>
      <w:pPr>
        <w:spacing w:line="276" w:lineRule="auto"/>
      </w:pPr>
      <w:r>
        <w:t xml:space="preserve">    19.3 Conclusão do Tratado e Síntese da Fluência Teórico-Instrumental</w:t>
      </w:r>
    </w:p>
    <w:p>
      <w:pPr>
        <w:spacing w:line="276" w:lineRule="auto"/>
      </w:pPr>
      <w:r>
        <w:t>20. REFERÊNCIAS BIBLIOGRÁFICAS FINAIS (ABNT NBR 6023)</w:t>
      </w:r>
    </w:p>
    <w:p>
      <w:r>
        <w:br w:type="page"/>
      </w:r>
    </w:p>
    <w:p>
      <w:pPr>
        <w:keepNext/>
        <w:spacing w:before="360" w:after="120"/>
      </w:pPr>
      <w:r>
        <w:rPr>
          <w:b/>
          <w:sz w:val="28"/>
        </w:rPr>
        <w:t>18. CAPÍTULO XII: O UNIVERSO DAS EXTENSÕES E TENSÕES HARMÔNICAS</w:t>
      </w:r>
    </w:p>
    <w:p>
      <w:pPr>
        <w:keepNext/>
        <w:spacing w:before="360" w:after="120"/>
      </w:pPr>
      <w:r>
        <w:rPr>
          <w:b/>
          <w:sz w:val="24"/>
        </w:rPr>
        <w:t>18.1 Superestruturas do Acorde: Nonas, Décimas Primeiras e Décimas Terceiras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Até o momento, a arquitetura harmônica analisada estruturou-se em empilhamentos básicos de até quatro notas (tétrades: Tônica, Terça, Quinta e Sétima). Contudo, o amadurecimento estético da música moderna — especialmente na Bossa Nova, no Jazz e na Música Popular Brasileira refinada — expande essas estruturas em direção às Superestruturas, adicionando extensões superiores obtidas pela continuidade do empilhamento de terças: as Nonas (9), Décimas Primeiras (11) e Décimas Terceiras (13).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Essas extensões não modificam a função estrutural básica do acorde (um acorde de tônica continua sendo de tônica), mas alteram drasticamente sua densidade e 'cor' acústica, adicionando uma roupagem sofisticada e rica em frequências harmônicas complementares. As variações cromáticas dessas extensões (como a nona menor b9 ou a décima primeira aumentada #11) criam pontos de tensão ou relaxamento altamente direcionados.</w:t>
      </w:r>
    </w:p>
    <w:p>
      <w:pPr>
        <w:keepNext/>
        <w:spacing w:before="360" w:after="120"/>
      </w:pPr>
      <w:r>
        <w:rPr>
          <w:b/>
          <w:sz w:val="24"/>
        </w:rPr>
        <w:t>18.2 O Conceito de Notas de Evitação (Avoid Notes) na Condução Acústica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A aplicação das extensões não ocorre de maneira aleatória. O arranjador deve guiar-se pelo conceito de Notas de Evitação (Avoid Notes). Uma nota de evitação ocorre quando uma extensão empilhada gera um intervalo de segunda menor (ou nona menor) com a terça ou a quinta do próprio acorde, criando uma dissonância áspera e desagradável que desfigura a identidade harmônica original.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O exemplo mais clássico de nota de evitação ocorre no acorde maior com sétima maior (I7M). Em C7M, a décima primeira justa (nota Fá) choca-se de forma agressiva com a terça maior do acorde (nota Mi), situada apenas um semitom abaixo. Portanto, a 11 justa é evitada em acordes maiores, sendo substituída pela 11 aumentada (#11), que preserva a pureza acústica da terça maior.</w:t>
      </w:r>
    </w:p>
    <w:p>
      <w:pPr>
        <w:keepNext/>
        <w:spacing w:before="360" w:after="120"/>
      </w:pPr>
      <w:r>
        <w:rPr>
          <w:b/>
          <w:sz w:val="24"/>
        </w:rPr>
        <w:t>18.3 Tabela de Tensões Disponíveis por Função Harmônica Diatônica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4"/>
        <w:gridCol w:w="2354"/>
        <w:gridCol w:w="2354"/>
        <w:gridCol w:w="2354"/>
      </w:tblGrid>
      <w:tr>
        <w:tc>
          <w:tcPr>
            <w:tcW w:type="dxa" w:w="2354"/>
            <w:shd w:fill="EDF2F7"/>
          </w:tcPr>
          <w:p>
            <w:r>
              <w:rPr>
                <w:b/>
              </w:rPr>
              <w:t>Tipo de Acorde / Função</w:t>
            </w:r>
          </w:p>
        </w:tc>
        <w:tc>
          <w:tcPr>
            <w:tcW w:type="dxa" w:w="2354"/>
            <w:shd w:fill="EDF2F7"/>
          </w:tcPr>
          <w:p>
            <w:r>
              <w:rPr>
                <w:b/>
              </w:rPr>
              <w:t>Tensões Disponíveis (Permitidas)</w:t>
            </w:r>
          </w:p>
        </w:tc>
        <w:tc>
          <w:tcPr>
            <w:tcW w:type="dxa" w:w="2354"/>
            <w:shd w:fill="EDF2F7"/>
          </w:tcPr>
          <w:p>
            <w:r>
              <w:rPr>
                <w:b/>
              </w:rPr>
              <w:t>Notas de Evitação (Evitar)</w:t>
            </w:r>
          </w:p>
        </w:tc>
        <w:tc>
          <w:tcPr>
            <w:tcW w:type="dxa" w:w="2354"/>
            <w:shd w:fill="EDF2F7"/>
          </w:tcPr>
          <w:p>
            <w:r>
              <w:rPr>
                <w:b/>
              </w:rPr>
              <w:t>Exemplo de Cifragem Avançada</w:t>
            </w:r>
          </w:p>
        </w:tc>
      </w:tr>
      <w:tr>
        <w:tc>
          <w:tcPr>
            <w:tcW w:type="dxa" w:w="2354"/>
          </w:tcPr>
          <w:p>
            <w:r>
              <w:t>Tônica Maior (I7M)</w:t>
            </w:r>
          </w:p>
        </w:tc>
        <w:tc>
          <w:tcPr>
            <w:tcW w:type="dxa" w:w="2354"/>
          </w:tcPr>
          <w:p>
            <w:r>
              <w:t>9 (Nona Justa), #11 (11ª Aumentada)</w:t>
            </w:r>
          </w:p>
        </w:tc>
        <w:tc>
          <w:tcPr>
            <w:tcW w:type="dxa" w:w="2354"/>
          </w:tcPr>
          <w:p>
            <w:r>
              <w:t>11 (11ª Justa)</w:t>
            </w:r>
          </w:p>
        </w:tc>
        <w:tc>
          <w:tcPr>
            <w:tcW w:type="dxa" w:w="2354"/>
          </w:tcPr>
          <w:p>
            <w:r>
              <w:t>C7M(9) ou C7M(#11)</w:t>
            </w:r>
          </w:p>
        </w:tc>
      </w:tr>
      <w:tr>
        <w:tc>
          <w:tcPr>
            <w:tcW w:type="dxa" w:w="2354"/>
          </w:tcPr>
          <w:p>
            <w:r>
              <w:t>Subdominante (IV7M)</w:t>
            </w:r>
          </w:p>
        </w:tc>
        <w:tc>
          <w:tcPr>
            <w:tcW w:type="dxa" w:w="2354"/>
          </w:tcPr>
          <w:p>
            <w:r>
              <w:t>9 (Nona Justa), #11 (11ª Aumentada), 13 (13ª Justa)</w:t>
            </w:r>
          </w:p>
        </w:tc>
        <w:tc>
          <w:tcPr>
            <w:tcW w:type="dxa" w:w="2354"/>
          </w:tcPr>
          <w:p>
            <w:r>
              <w:t>Nenhuma</w:t>
            </w:r>
          </w:p>
        </w:tc>
        <w:tc>
          <w:tcPr>
            <w:tcW w:type="dxa" w:w="2354"/>
          </w:tcPr>
          <w:p>
            <w:r>
              <w:t>F7M(9/#11)</w:t>
            </w:r>
          </w:p>
        </w:tc>
      </w:tr>
      <w:tr>
        <w:tc>
          <w:tcPr>
            <w:tcW w:type="dxa" w:w="2354"/>
          </w:tcPr>
          <w:p>
            <w:r>
              <w:t>Dominante (V7)</w:t>
            </w:r>
          </w:p>
        </w:tc>
        <w:tc>
          <w:tcPr>
            <w:tcW w:type="dxa" w:w="2354"/>
          </w:tcPr>
          <w:p>
            <w:r>
              <w:t>9, b9, #9, 11, #11, 13, b13 (Altamente maleável)</w:t>
            </w:r>
          </w:p>
        </w:tc>
        <w:tc>
          <w:tcPr>
            <w:tcW w:type="dxa" w:w="2354"/>
          </w:tcPr>
          <w:p>
            <w:r>
              <w:t>Nenhuma (Aceita quase todas)</w:t>
            </w:r>
          </w:p>
        </w:tc>
        <w:tc>
          <w:tcPr>
            <w:tcW w:type="dxa" w:w="2354"/>
          </w:tcPr>
          <w:p>
            <w:r>
              <w:t>G7(b9/b13) ou G7(13)</w:t>
            </w:r>
          </w:p>
        </w:tc>
      </w:tr>
      <w:tr>
        <w:tc>
          <w:tcPr>
            <w:tcW w:type="dxa" w:w="2354"/>
          </w:tcPr>
          <w:p>
            <w:r>
              <w:t>Menor / Preparatório (IIm7)</w:t>
            </w:r>
          </w:p>
        </w:tc>
        <w:tc>
          <w:tcPr>
            <w:tcW w:type="dxa" w:w="2354"/>
          </w:tcPr>
          <w:p>
            <w:r>
              <w:t>9 (Nona Justa), 11 (11ª Justa)</w:t>
            </w:r>
          </w:p>
        </w:tc>
        <w:tc>
          <w:tcPr>
            <w:tcW w:type="dxa" w:w="2354"/>
          </w:tcPr>
          <w:p>
            <w:r>
              <w:t>13 (13ª Justa - gera trítono com a 3ª)</w:t>
            </w:r>
          </w:p>
        </w:tc>
        <w:tc>
          <w:tcPr>
            <w:tcW w:type="dxa" w:w="2354"/>
          </w:tcPr>
          <w:p>
            <w:r>
              <w:t>Dm7(9/11)</w:t>
            </w:r>
          </w:p>
        </w:tc>
      </w:tr>
      <w:tr>
        <w:tc>
          <w:tcPr>
            <w:tcW w:type="dxa" w:w="2354"/>
          </w:tcPr>
          <w:p>
            <w:r>
              <w:t>Meio-Diminuto (IIm7(b5))</w:t>
            </w:r>
          </w:p>
        </w:tc>
        <w:tc>
          <w:tcPr>
            <w:tcW w:type="dxa" w:w="2354"/>
          </w:tcPr>
          <w:p>
            <w:r>
              <w:t>11 (11ª Justa), b13 (13ª Menor)</w:t>
            </w:r>
          </w:p>
        </w:tc>
        <w:tc>
          <w:tcPr>
            <w:tcW w:type="dxa" w:w="2354"/>
          </w:tcPr>
          <w:p>
            <w:r>
              <w:t>9 (Nona Justa)</w:t>
            </w:r>
          </w:p>
        </w:tc>
        <w:tc>
          <w:tcPr>
            <w:tcW w:type="dxa" w:w="2354"/>
          </w:tcPr>
          <w:p>
            <w:r>
              <w:t>Bm7(b5)/11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b/>
          <w:sz w:val="28"/>
        </w:rPr>
        <w:t>19. CAPÍTULO XIII: ANÁLISE COMPOSICIONAL E APLICAÇÃO EM REARMONIZAÇÃO</w:t>
      </w:r>
    </w:p>
    <w:p>
      <w:pPr>
        <w:keepNext/>
        <w:spacing w:before="360" w:after="120"/>
      </w:pPr>
      <w:r>
        <w:rPr>
          <w:b/>
          <w:sz w:val="24"/>
        </w:rPr>
        <w:t>19.1 Desconstruindo a Série Harmônica e Substituições Avançadas (SubV5)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A aplicação prática de rearmonização exige o domínio de conceitos de substituição simétrica. O mais importante deles é o SubV5 (Substituto da Dominante). Sabendo que a força do acorde dominante (V7) reside no Trítono estrutural localizado entre a sua 3ª e 7ª diretrizes, descobrimos que existe outro acorde dominante que compartilha exatamente do mesmo trítono, localizado a uma distância de tritono da tônica original.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Por exemplo, o trítono de G7 é composto pelas notas Si e Fá. O acorde de Db7 (Ré bemol maior com sétima) possui como terça a nota Fá e como sétima a nota Cb (que sonoramente é o Si). Logo, Db7 pode substituir G7 perfeitamente. O movimento do baixo deixa de ser um salto de quinta descendente e passa a ser uma descida cromática suave por meio tom (Db7 -&gt; C7M), gerando uma condução extremamente sofisticada típica do Jazz e da Bossa Nova.</w:t>
      </w:r>
    </w:p>
    <w:p>
      <w:pPr>
        <w:keepNext/>
        <w:spacing w:before="360" w:after="120"/>
      </w:pPr>
      <w:r>
        <w:rPr>
          <w:b/>
          <w:sz w:val="24"/>
        </w:rPr>
        <w:t>19.2 Estudo de Caso Prático: Rearmonização de uma Linha Melódica Simples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Para consolidar a fusão entre teoria e execução instrumental, analisemos a rearmonização de uma célula de resolução padrão de quatro compassos no tom de Dó Maior, comparando a abordagem rudimentar à abordagem de alta performance: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9"/>
        <w:gridCol w:w="3139"/>
        <w:gridCol w:w="3139"/>
      </w:tblGrid>
      <w:tr>
        <w:tc>
          <w:tcPr>
            <w:tcW w:type="dxa" w:w="3139"/>
            <w:shd w:fill="F7FAFC"/>
          </w:tcPr>
          <w:p>
            <w:r>
              <w:rPr>
                <w:b/>
              </w:rPr>
              <w:t>Segmento</w:t>
            </w:r>
          </w:p>
        </w:tc>
        <w:tc>
          <w:tcPr>
            <w:tcW w:type="dxa" w:w="3139"/>
            <w:shd w:fill="F7FAFC"/>
          </w:tcPr>
          <w:p>
            <w:r>
              <w:rPr>
                <w:b/>
              </w:rPr>
              <w:t>Harmonia Tradicional (Iniciante)</w:t>
            </w:r>
          </w:p>
        </w:tc>
        <w:tc>
          <w:tcPr>
            <w:tcW w:type="dxa" w:w="3139"/>
            <w:shd w:fill="F7FAFC"/>
          </w:tcPr>
          <w:p>
            <w:r>
              <w:rPr>
                <w:b/>
              </w:rPr>
              <w:t>Rearmonização Avançada (Mestre / Bossa / Jazz)</w:t>
            </w:r>
          </w:p>
        </w:tc>
      </w:tr>
      <w:tr>
        <w:tc>
          <w:tcPr>
            <w:tcW w:type="dxa" w:w="3139"/>
          </w:tcPr>
          <w:p>
            <w:r>
              <w:t>Compasso 1</w:t>
            </w:r>
          </w:p>
        </w:tc>
        <w:tc>
          <w:tcPr>
            <w:tcW w:type="dxa" w:w="3139"/>
          </w:tcPr>
          <w:p>
            <w:r>
              <w:t>C (Estado Fundamental)</w:t>
            </w:r>
          </w:p>
        </w:tc>
        <w:tc>
          <w:tcPr>
            <w:tcW w:type="dxa" w:w="3139"/>
          </w:tcPr>
          <w:p>
            <w:r>
              <w:t>C7M(9) [Tônica expandida com cor de 9ª]</w:t>
            </w:r>
          </w:p>
        </w:tc>
      </w:tr>
      <w:tr>
        <w:tc>
          <w:tcPr>
            <w:tcW w:type="dxa" w:w="3139"/>
          </w:tcPr>
          <w:p>
            <w:r>
              <w:t>Compasso 2</w:t>
            </w:r>
          </w:p>
        </w:tc>
        <w:tc>
          <w:tcPr>
            <w:tcW w:type="dxa" w:w="3139"/>
          </w:tcPr>
          <w:p>
            <w:r>
              <w:t>Dm (Grau II simples)</w:t>
            </w:r>
          </w:p>
        </w:tc>
        <w:tc>
          <w:tcPr>
            <w:tcW w:type="dxa" w:w="3139"/>
          </w:tcPr>
          <w:p>
            <w:r>
              <w:t>E7(b9) -&gt; A7(b13) [Dominantes estendidos preparando o II]</w:t>
            </w:r>
          </w:p>
        </w:tc>
      </w:tr>
      <w:tr>
        <w:tc>
          <w:tcPr>
            <w:tcW w:type="dxa" w:w="3139"/>
          </w:tcPr>
          <w:p>
            <w:r>
              <w:t>Compasso 3</w:t>
            </w:r>
          </w:p>
        </w:tc>
        <w:tc>
          <w:tcPr>
            <w:tcW w:type="dxa" w:w="3139"/>
          </w:tcPr>
          <w:p>
            <w:r>
              <w:t>G7 (Dominante puro)</w:t>
            </w:r>
          </w:p>
        </w:tc>
        <w:tc>
          <w:tcPr>
            <w:tcW w:type="dxa" w:w="3139"/>
          </w:tcPr>
          <w:p>
            <w:r>
              <w:t>Dm7(9) -&gt; Db7(#11) [II-V menorizado usando SubV5 com tensão]</w:t>
            </w:r>
          </w:p>
        </w:tc>
      </w:tr>
      <w:tr>
        <w:tc>
          <w:tcPr>
            <w:tcW w:type="dxa" w:w="3139"/>
          </w:tcPr>
          <w:p>
            <w:r>
              <w:t>Compasso 4</w:t>
            </w:r>
          </w:p>
        </w:tc>
        <w:tc>
          <w:tcPr>
            <w:tcW w:type="dxa" w:w="3139"/>
          </w:tcPr>
          <w:p>
            <w:r>
              <w:t>C (Resolução seca)</w:t>
            </w:r>
          </w:p>
        </w:tc>
        <w:tc>
          <w:tcPr>
            <w:tcW w:type="dxa" w:w="3139"/>
          </w:tcPr>
          <w:p>
            <w:r>
              <w:t>C7M(#11) [Resolução flutuante com quarta aumentada]</w:t>
            </w:r>
          </w:p>
        </w:tc>
      </w:tr>
    </w:tbl>
    <w:p>
      <w:pPr>
        <w:keepNext/>
        <w:spacing w:before="360" w:after="120"/>
      </w:pPr>
      <w:r>
        <w:rPr>
          <w:b/>
          <w:sz w:val="24"/>
        </w:rPr>
        <w:t>19.3 Conclusão do Tratado e Síntese da Fluência Teórico-Instrumental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A jornada desenvolvida ao longo deste tratado — partindo da física acústica elementar, cruzando as matrizes maiores e menores, desvendando as inversões mecânicas nas teclas e no braço do violão, e culminando nas extensões cromáticas avançadas — demonstra que a teoria musical não é um conjunto de regras restritivas, mas sim um mapa de navegação geográfica e sensorial.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A fluência real no instrumento emerge no exato instante em que o cérebro deixa de enxergar fôrmas isoladas e passa a visualizar o braço e o teclado como um ecossistema vivo de funções, tensões e conduções de vozes interligadas. Este tratado serve como alicerce definitivo para que o músico atue não apenas como um executor mecânico, mas como um pensador, arranjador e arquiteto do fenômeno sonoro.</w:t>
      </w:r>
    </w:p>
    <w:p>
      <w:pPr>
        <w:keepNext/>
        <w:spacing w:before="360" w:after="120"/>
      </w:pPr>
      <w:r>
        <w:rPr>
          <w:b/>
          <w:sz w:val="28"/>
        </w:rPr>
        <w:t>20. REFERÊNCIAS BIBLIOGRÁFICAS FINAIS (ABNT NBR 6023)</w:t>
      </w:r>
    </w:p>
    <w:p>
      <w:pPr>
        <w:spacing w:line="360" w:lineRule="auto" w:after="120"/>
        <w:ind w:firstLine="706"/>
        <w:jc w:val="both"/>
      </w:pPr>
      <w:r>
        <w:rPr>
          <w:b w:val="0"/>
          <w:i w:val="0"/>
        </w:rPr>
        <w:t>CHEDIAK, Almir. Harmonia e Improvisação: Volume 2. Rio de Janeiro: Lumiar Editora, 1988.</w:t>
      </w:r>
    </w:p>
    <w:p>
      <w:pPr>
        <w:spacing w:line="360" w:lineRule="auto" w:after="120"/>
        <w:ind w:firstLine="706"/>
        <w:jc w:val="both"/>
      </w:pPr>
      <w:r>
        <w:rPr>
          <w:b w:val="0"/>
          <w:i w:val="0"/>
        </w:rPr>
        <w:t>GUEST, Ian. Arranjo - Método Prático: Volume 1. Rio de Janeiro: Lumiar Editora, 1996.</w:t>
      </w:r>
    </w:p>
    <w:p>
      <w:pPr>
        <w:spacing w:line="360" w:lineRule="auto" w:after="120"/>
        <w:ind w:firstLine="706"/>
        <w:jc w:val="both"/>
      </w:pPr>
      <w:r>
        <w:rPr>
          <w:b w:val="0"/>
          <w:i w:val="0"/>
        </w:rPr>
        <w:t>NETTL, Bruno. The Study of Ethnomusicology. Urbana: University of Illinois Press, 2005.</w:t>
      </w:r>
    </w:p>
    <w:sectPr w:rsidR="00FC693F" w:rsidRPr="0006063C" w:rsidSect="00034616">
      <w:pgSz w:w="12240" w:h="15840"/>
      <w:pgMar w:top="1699" w:right="1123" w:bottom="1123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