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AA" w:rsidRDefault="00877492"/>
    <w:tbl>
      <w:tblPr>
        <w:tblStyle w:val="Tabelacomgrade"/>
        <w:tblW w:w="0" w:type="auto"/>
        <w:tblLook w:val="04A0" w:firstRow="1" w:lastRow="0" w:firstColumn="1" w:lastColumn="0" w:noHBand="0" w:noVBand="1"/>
      </w:tblPr>
      <w:tblGrid>
        <w:gridCol w:w="1812"/>
        <w:gridCol w:w="1812"/>
        <w:gridCol w:w="1812"/>
        <w:gridCol w:w="2356"/>
        <w:gridCol w:w="1269"/>
      </w:tblGrid>
      <w:tr w:rsidR="008A5B2B" w:rsidTr="0024424C">
        <w:trPr>
          <w:trHeight w:val="823"/>
        </w:trPr>
        <w:tc>
          <w:tcPr>
            <w:tcW w:w="1812" w:type="dxa"/>
            <w:vMerge w:val="restart"/>
            <w:vAlign w:val="center"/>
          </w:tcPr>
          <w:p w:rsidR="008A5B2B" w:rsidRDefault="008A5B2B" w:rsidP="0024424C">
            <w:pPr>
              <w:jc w:val="center"/>
            </w:pPr>
            <w:r>
              <w:rPr>
                <w:noProof/>
                <w:lang w:eastAsia="pt-BR"/>
              </w:rPr>
              <w:drawing>
                <wp:inline distT="0" distB="0" distL="0" distR="0">
                  <wp:extent cx="773762" cy="659130"/>
                  <wp:effectExtent l="0" t="0" r="762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imple-ced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3762" cy="659130"/>
                          </a:xfrm>
                          <a:prstGeom prst="rect">
                            <a:avLst/>
                          </a:prstGeom>
                        </pic:spPr>
                      </pic:pic>
                    </a:graphicData>
                  </a:graphic>
                </wp:inline>
              </w:drawing>
            </w:r>
          </w:p>
        </w:tc>
        <w:tc>
          <w:tcPr>
            <w:tcW w:w="7249" w:type="dxa"/>
            <w:gridSpan w:val="4"/>
            <w:vAlign w:val="center"/>
          </w:tcPr>
          <w:p w:rsidR="008A5B2B" w:rsidRPr="008A5B2B" w:rsidRDefault="00616273" w:rsidP="008A5B2B">
            <w:pPr>
              <w:jc w:val="center"/>
              <w:rPr>
                <w:b/>
              </w:rPr>
            </w:pPr>
            <w:r>
              <w:rPr>
                <w:b/>
                <w:sz w:val="32"/>
              </w:rPr>
              <w:t xml:space="preserve">Processamento de Obra </w:t>
            </w:r>
            <w:proofErr w:type="spellStart"/>
            <w:r>
              <w:rPr>
                <w:b/>
                <w:sz w:val="32"/>
              </w:rPr>
              <w:t>Bibliografica</w:t>
            </w:r>
            <w:proofErr w:type="spellEnd"/>
          </w:p>
        </w:tc>
      </w:tr>
      <w:tr w:rsidR="008A5B2B" w:rsidTr="00057CC0">
        <w:tc>
          <w:tcPr>
            <w:tcW w:w="1812" w:type="dxa"/>
            <w:vMerge/>
          </w:tcPr>
          <w:p w:rsidR="008A5B2B" w:rsidRDefault="008A5B2B"/>
        </w:tc>
        <w:tc>
          <w:tcPr>
            <w:tcW w:w="1812" w:type="dxa"/>
          </w:tcPr>
          <w:p w:rsidR="008A5B2B" w:rsidRPr="00057CC0" w:rsidRDefault="008A5B2B">
            <w:pPr>
              <w:rPr>
                <w:sz w:val="16"/>
              </w:rPr>
            </w:pPr>
            <w:r>
              <w:rPr>
                <w:sz w:val="16"/>
              </w:rPr>
              <w:t>Data</w:t>
            </w:r>
          </w:p>
        </w:tc>
        <w:tc>
          <w:tcPr>
            <w:tcW w:w="1812" w:type="dxa"/>
          </w:tcPr>
          <w:p w:rsidR="008A5B2B" w:rsidRPr="00057CC0" w:rsidRDefault="008A5B2B">
            <w:pPr>
              <w:rPr>
                <w:sz w:val="16"/>
              </w:rPr>
            </w:pPr>
            <w:r>
              <w:rPr>
                <w:sz w:val="16"/>
              </w:rPr>
              <w:t>Identificação</w:t>
            </w:r>
          </w:p>
        </w:tc>
        <w:tc>
          <w:tcPr>
            <w:tcW w:w="2356" w:type="dxa"/>
          </w:tcPr>
          <w:p w:rsidR="008A5B2B" w:rsidRPr="00057CC0" w:rsidRDefault="008A5B2B">
            <w:pPr>
              <w:rPr>
                <w:sz w:val="16"/>
              </w:rPr>
            </w:pPr>
            <w:r>
              <w:rPr>
                <w:sz w:val="16"/>
              </w:rPr>
              <w:t>Responsável</w:t>
            </w:r>
          </w:p>
        </w:tc>
        <w:tc>
          <w:tcPr>
            <w:tcW w:w="1269" w:type="dxa"/>
          </w:tcPr>
          <w:p w:rsidR="008A5B2B" w:rsidRPr="00057CC0" w:rsidRDefault="008A5B2B" w:rsidP="00057CC0">
            <w:pPr>
              <w:jc w:val="center"/>
              <w:rPr>
                <w:sz w:val="16"/>
              </w:rPr>
            </w:pPr>
            <w:r w:rsidRPr="00057CC0">
              <w:rPr>
                <w:sz w:val="16"/>
              </w:rPr>
              <w:t>Versão</w:t>
            </w:r>
          </w:p>
        </w:tc>
      </w:tr>
      <w:tr w:rsidR="008A5B2B" w:rsidTr="00057CC0">
        <w:tc>
          <w:tcPr>
            <w:tcW w:w="1812" w:type="dxa"/>
            <w:vMerge/>
          </w:tcPr>
          <w:p w:rsidR="008A5B2B" w:rsidRDefault="008A5B2B"/>
        </w:tc>
        <w:tc>
          <w:tcPr>
            <w:tcW w:w="1812" w:type="dxa"/>
          </w:tcPr>
          <w:p w:rsidR="008A5B2B" w:rsidRDefault="00616273" w:rsidP="008A5B2B">
            <w:pPr>
              <w:jc w:val="center"/>
            </w:pPr>
            <w:r>
              <w:t>15/03/2019</w:t>
            </w:r>
          </w:p>
        </w:tc>
        <w:tc>
          <w:tcPr>
            <w:tcW w:w="1812" w:type="dxa"/>
          </w:tcPr>
          <w:p w:rsidR="008A5B2B" w:rsidRDefault="00616273" w:rsidP="00616273">
            <w:pPr>
              <w:jc w:val="center"/>
            </w:pPr>
            <w:r>
              <w:t>FIND-100</w:t>
            </w:r>
          </w:p>
        </w:tc>
        <w:tc>
          <w:tcPr>
            <w:tcW w:w="2356" w:type="dxa"/>
          </w:tcPr>
          <w:p w:rsidR="008A5B2B" w:rsidRDefault="008A5B2B">
            <w:r>
              <w:t>Rene</w:t>
            </w:r>
          </w:p>
        </w:tc>
        <w:tc>
          <w:tcPr>
            <w:tcW w:w="1269" w:type="dxa"/>
          </w:tcPr>
          <w:p w:rsidR="008A5B2B" w:rsidRDefault="008A5B2B" w:rsidP="00057CC0">
            <w:pPr>
              <w:jc w:val="center"/>
            </w:pPr>
            <w:r>
              <w:t>1.0</w:t>
            </w:r>
          </w:p>
        </w:tc>
      </w:tr>
    </w:tbl>
    <w:p w:rsidR="008A5B2B" w:rsidRDefault="008A5B2B"/>
    <w:p w:rsidR="007C3E68" w:rsidRPr="007C3E68" w:rsidRDefault="007C3E68" w:rsidP="00616273">
      <w:pPr>
        <w:pStyle w:val="Ttulo1"/>
      </w:pPr>
      <w:r w:rsidRPr="007C3E68">
        <w:t>Objetivo do documento</w:t>
      </w:r>
    </w:p>
    <w:p w:rsidR="007C3E68" w:rsidRDefault="007C3E68" w:rsidP="008A5B2B">
      <w:r>
        <w:t xml:space="preserve">Sistematiza </w:t>
      </w:r>
      <w:r w:rsidR="00616273">
        <w:t>o preparo técnico de obras dentro do FIND.</w:t>
      </w:r>
    </w:p>
    <w:p w:rsidR="00C206B5" w:rsidRDefault="00C206B5">
      <w:pPr>
        <w:spacing w:line="259" w:lineRule="auto"/>
        <w:jc w:val="left"/>
        <w:rPr>
          <w:rFonts w:ascii="Arial" w:eastAsiaTheme="majorEastAsia" w:hAnsi="Arial" w:cstheme="majorBidi"/>
          <w:b/>
          <w:color w:val="000000" w:themeColor="text1"/>
          <w:szCs w:val="32"/>
        </w:rPr>
      </w:pPr>
      <w:r>
        <w:br w:type="page"/>
      </w:r>
    </w:p>
    <w:p w:rsidR="00616273" w:rsidRDefault="00616273" w:rsidP="00616273">
      <w:pPr>
        <w:pStyle w:val="Ttulo1"/>
      </w:pPr>
      <w:r>
        <w:lastRenderedPageBreak/>
        <w:t>Metodologia</w:t>
      </w:r>
    </w:p>
    <w:tbl>
      <w:tblPr>
        <w:tblStyle w:val="Tabelacomgrade"/>
        <w:tblW w:w="0" w:type="auto"/>
        <w:tblLook w:val="04A0" w:firstRow="1" w:lastRow="0" w:firstColumn="1" w:lastColumn="0" w:noHBand="0" w:noVBand="1"/>
      </w:tblPr>
      <w:tblGrid>
        <w:gridCol w:w="846"/>
        <w:gridCol w:w="8215"/>
      </w:tblGrid>
      <w:tr w:rsidR="00616273" w:rsidTr="00616273">
        <w:tc>
          <w:tcPr>
            <w:tcW w:w="846" w:type="dxa"/>
          </w:tcPr>
          <w:p w:rsidR="00616273" w:rsidRDefault="00616273" w:rsidP="00616273">
            <w:pPr>
              <w:spacing w:line="276" w:lineRule="auto"/>
              <w:jc w:val="center"/>
            </w:pPr>
            <w:r>
              <w:t>Etapa</w:t>
            </w:r>
          </w:p>
        </w:tc>
        <w:tc>
          <w:tcPr>
            <w:tcW w:w="8215" w:type="dxa"/>
          </w:tcPr>
          <w:p w:rsidR="00616273" w:rsidRDefault="00616273" w:rsidP="00616273">
            <w:pPr>
              <w:spacing w:line="276" w:lineRule="auto"/>
            </w:pPr>
            <w:r>
              <w:t>Descrição</w:t>
            </w:r>
          </w:p>
        </w:tc>
      </w:tr>
      <w:tr w:rsidR="00616273" w:rsidTr="00616273">
        <w:tc>
          <w:tcPr>
            <w:tcW w:w="846" w:type="dxa"/>
            <w:shd w:val="clear" w:color="auto" w:fill="FFE599" w:themeFill="accent4" w:themeFillTint="66"/>
            <w:vAlign w:val="center"/>
          </w:tcPr>
          <w:p w:rsidR="00616273" w:rsidRPr="00616273" w:rsidRDefault="00616273" w:rsidP="00616273">
            <w:pPr>
              <w:spacing w:line="276" w:lineRule="auto"/>
              <w:jc w:val="center"/>
              <w:rPr>
                <w:rFonts w:ascii="Roboto" w:hAnsi="Roboto"/>
                <w:b/>
                <w:color w:val="FFFFFF" w:themeColor="background1"/>
                <w:sz w:val="96"/>
              </w:rPr>
            </w:pPr>
            <w:r w:rsidRPr="00616273">
              <w:rPr>
                <w:rFonts w:ascii="Roboto" w:hAnsi="Roboto"/>
                <w:b/>
                <w:color w:val="FFFFFF" w:themeColor="background1"/>
                <w:sz w:val="96"/>
              </w:rPr>
              <w:t>1</w:t>
            </w:r>
          </w:p>
        </w:tc>
        <w:tc>
          <w:tcPr>
            <w:tcW w:w="8215" w:type="dxa"/>
          </w:tcPr>
          <w:p w:rsidR="00616273" w:rsidRPr="00616273" w:rsidRDefault="00616273" w:rsidP="00616273">
            <w:pPr>
              <w:spacing w:line="276" w:lineRule="auto"/>
              <w:rPr>
                <w:b/>
              </w:rPr>
            </w:pPr>
            <w:r w:rsidRPr="00616273">
              <w:rPr>
                <w:b/>
              </w:rPr>
              <w:t>Recebimento</w:t>
            </w:r>
          </w:p>
          <w:p w:rsidR="00616273" w:rsidRDefault="00616273" w:rsidP="00616273">
            <w:pPr>
              <w:spacing w:line="276" w:lineRule="auto"/>
            </w:pPr>
            <w:r>
              <w:t>O material é recebido, conferido com a descrição contida na nota fiscal que o acompanha, organizado em ordem cronológica de recebimento e encaminhado aos setores competentes para o processamento técnico. Peças monográficas (livros, folhetos etc.), periódicos e os demais materiais especiais, como CDs, partituras, estampas, mapas etc., são separados e enviados para suas respectivas áreas de guarda.</w:t>
            </w:r>
          </w:p>
        </w:tc>
      </w:tr>
      <w:tr w:rsidR="00616273" w:rsidTr="00616273">
        <w:tc>
          <w:tcPr>
            <w:tcW w:w="846" w:type="dxa"/>
            <w:shd w:val="clear" w:color="auto" w:fill="FFE599" w:themeFill="accent4" w:themeFillTint="66"/>
            <w:vAlign w:val="center"/>
          </w:tcPr>
          <w:p w:rsidR="00616273" w:rsidRPr="00616273" w:rsidRDefault="00616273" w:rsidP="00616273">
            <w:pPr>
              <w:spacing w:line="276" w:lineRule="auto"/>
              <w:jc w:val="center"/>
              <w:rPr>
                <w:rFonts w:ascii="Roboto" w:hAnsi="Roboto"/>
                <w:b/>
                <w:color w:val="FFFFFF" w:themeColor="background1"/>
                <w:sz w:val="96"/>
              </w:rPr>
            </w:pPr>
            <w:r>
              <w:rPr>
                <w:rFonts w:ascii="Roboto" w:hAnsi="Roboto"/>
                <w:b/>
                <w:color w:val="FFFFFF" w:themeColor="background1"/>
                <w:sz w:val="96"/>
              </w:rPr>
              <w:t>2</w:t>
            </w:r>
          </w:p>
        </w:tc>
        <w:tc>
          <w:tcPr>
            <w:tcW w:w="8215" w:type="dxa"/>
          </w:tcPr>
          <w:p w:rsidR="00616273" w:rsidRPr="00616273" w:rsidRDefault="00616273" w:rsidP="00616273">
            <w:pPr>
              <w:spacing w:line="276" w:lineRule="auto"/>
              <w:rPr>
                <w:b/>
              </w:rPr>
            </w:pPr>
            <w:r w:rsidRPr="00616273">
              <w:rPr>
                <w:b/>
              </w:rPr>
              <w:t>Registro patrimonial</w:t>
            </w:r>
          </w:p>
          <w:p w:rsidR="00616273" w:rsidRPr="00616273" w:rsidRDefault="00616273" w:rsidP="00616273">
            <w:pPr>
              <w:spacing w:line="276" w:lineRule="auto"/>
            </w:pPr>
            <w:r w:rsidRPr="00616273">
              <w:t>A obra, bibliográfica ou não, recebe um número único de patrimônio que a identifica</w:t>
            </w:r>
            <w:r>
              <w:t>, utiliza-se as etiquetas já impressas</w:t>
            </w:r>
            <w:r w:rsidRPr="00616273">
              <w:t xml:space="preserve">. </w:t>
            </w:r>
            <w:r>
              <w:t xml:space="preserve">O FIND </w:t>
            </w:r>
            <w:r w:rsidRPr="00616273">
              <w:t>registr</w:t>
            </w:r>
            <w:r>
              <w:t>a</w:t>
            </w:r>
            <w:r w:rsidRPr="00616273">
              <w:t xml:space="preserve"> seus materiais </w:t>
            </w:r>
            <w:r>
              <w:t>com</w:t>
            </w:r>
            <w:r w:rsidRPr="00616273">
              <w:t xml:space="preserve"> numeração única </w:t>
            </w:r>
            <w:r>
              <w:t>a</w:t>
            </w:r>
            <w:r w:rsidRPr="00616273">
              <w:t xml:space="preserve"> fim de garantir a uniformidade da numeração seriada entre as diferentes áreas da Biblioteca</w:t>
            </w:r>
            <w:r>
              <w:t xml:space="preserve"> e Bibliotecas</w:t>
            </w:r>
            <w:r w:rsidRPr="00616273">
              <w:t xml:space="preserve">, são emitidas séries de números </w:t>
            </w:r>
            <w:r w:rsidRPr="00616273">
              <w:t xml:space="preserve">unívoco </w:t>
            </w:r>
            <w:r>
              <w:t xml:space="preserve">para todas as bibliotecas, diferenciando o prefixo. O Número tombo deve ser colado no verso da folha de rosto, </w:t>
            </w:r>
            <w:r w:rsidRPr="00616273">
              <w:t xml:space="preserve">na parte </w:t>
            </w:r>
            <w:r>
              <w:t xml:space="preserve">direita </w:t>
            </w:r>
            <w:r w:rsidRPr="00616273">
              <w:t>inferior</w:t>
            </w:r>
            <w:r>
              <w:t>. Em cima da etiqueta deve-se aplicar uma fita mágica (ver figura x)</w:t>
            </w:r>
          </w:p>
        </w:tc>
      </w:tr>
      <w:tr w:rsidR="00616273" w:rsidTr="00616273">
        <w:tc>
          <w:tcPr>
            <w:tcW w:w="846" w:type="dxa"/>
            <w:shd w:val="clear" w:color="auto" w:fill="FFE599" w:themeFill="accent4" w:themeFillTint="66"/>
            <w:vAlign w:val="center"/>
          </w:tcPr>
          <w:p w:rsidR="00616273" w:rsidRDefault="00616273" w:rsidP="00616273">
            <w:pPr>
              <w:spacing w:line="276" w:lineRule="auto"/>
              <w:jc w:val="center"/>
              <w:rPr>
                <w:rFonts w:ascii="Roboto" w:hAnsi="Roboto"/>
                <w:b/>
                <w:color w:val="FFFFFF" w:themeColor="background1"/>
                <w:sz w:val="96"/>
              </w:rPr>
            </w:pPr>
            <w:r>
              <w:rPr>
                <w:rFonts w:ascii="Roboto" w:hAnsi="Roboto"/>
                <w:b/>
                <w:color w:val="FFFFFF" w:themeColor="background1"/>
                <w:sz w:val="96"/>
              </w:rPr>
              <w:t>3</w:t>
            </w:r>
          </w:p>
        </w:tc>
        <w:tc>
          <w:tcPr>
            <w:tcW w:w="8215" w:type="dxa"/>
          </w:tcPr>
          <w:p w:rsidR="00616273" w:rsidRDefault="00616273" w:rsidP="00616273">
            <w:pPr>
              <w:spacing w:line="276" w:lineRule="auto"/>
              <w:rPr>
                <w:b/>
              </w:rPr>
            </w:pPr>
            <w:r>
              <w:rPr>
                <w:b/>
              </w:rPr>
              <w:t>Carimbo e Folha Segredo</w:t>
            </w:r>
          </w:p>
          <w:p w:rsidR="00616273" w:rsidRPr="00616273" w:rsidRDefault="00616273" w:rsidP="00C206B5">
            <w:pPr>
              <w:spacing w:line="276" w:lineRule="auto"/>
              <w:rPr>
                <w:b/>
              </w:rPr>
            </w:pPr>
            <w:r w:rsidRPr="00616273">
              <w:t>O carimbo de identificação e registro da biblioteca será colocado no verso da página de</w:t>
            </w:r>
            <w:r>
              <w:t xml:space="preserve"> </w:t>
            </w:r>
            <w:r w:rsidRPr="00616273">
              <w:t xml:space="preserve">rosto, na parte </w:t>
            </w:r>
            <w:r>
              <w:t xml:space="preserve">direita </w:t>
            </w:r>
            <w:r w:rsidRPr="00616273">
              <w:t xml:space="preserve">inferior, </w:t>
            </w:r>
            <w:r>
              <w:t>logo acima do número do registro patrimonial.</w:t>
            </w:r>
            <w:r w:rsidR="00C206B5">
              <w:t xml:space="preserve"> </w:t>
            </w:r>
            <w:r w:rsidR="00C206B5">
              <w:t>Na página 33 de cada livro será colocado um carimbo identificador da biblioteca</w:t>
            </w:r>
            <w:r w:rsidR="00C206B5">
              <w:t xml:space="preserve"> no canto superior direito</w:t>
            </w:r>
            <w:r w:rsidR="00C206B5">
              <w:t>.</w:t>
            </w:r>
            <w:r w:rsidR="00C206B5">
              <w:cr/>
            </w:r>
            <w:r w:rsidR="00C206B5">
              <w:t xml:space="preserve"> </w:t>
            </w:r>
            <w:r w:rsidR="00C206B5">
              <w:t>(</w:t>
            </w:r>
            <w:proofErr w:type="gramStart"/>
            <w:r w:rsidR="00C206B5">
              <w:t>ver</w:t>
            </w:r>
            <w:proofErr w:type="gramEnd"/>
            <w:r w:rsidR="00C206B5">
              <w:t xml:space="preserve"> figura x)</w:t>
            </w:r>
          </w:p>
        </w:tc>
      </w:tr>
      <w:tr w:rsidR="00616273" w:rsidTr="00616273">
        <w:tc>
          <w:tcPr>
            <w:tcW w:w="846" w:type="dxa"/>
            <w:shd w:val="clear" w:color="auto" w:fill="FFE599" w:themeFill="accent4" w:themeFillTint="66"/>
            <w:vAlign w:val="center"/>
          </w:tcPr>
          <w:p w:rsidR="00616273" w:rsidRDefault="00616273" w:rsidP="00616273">
            <w:pPr>
              <w:spacing w:line="276" w:lineRule="auto"/>
              <w:jc w:val="center"/>
              <w:rPr>
                <w:rFonts w:ascii="Roboto" w:hAnsi="Roboto"/>
                <w:b/>
                <w:color w:val="FFFFFF" w:themeColor="background1"/>
                <w:sz w:val="96"/>
              </w:rPr>
            </w:pPr>
            <w:r>
              <w:rPr>
                <w:rFonts w:ascii="Roboto" w:hAnsi="Roboto"/>
                <w:b/>
                <w:color w:val="FFFFFF" w:themeColor="background1"/>
                <w:sz w:val="96"/>
              </w:rPr>
              <w:t>4</w:t>
            </w:r>
          </w:p>
        </w:tc>
        <w:tc>
          <w:tcPr>
            <w:tcW w:w="8215" w:type="dxa"/>
          </w:tcPr>
          <w:p w:rsidR="00616273" w:rsidRDefault="00616273" w:rsidP="00616273">
            <w:pPr>
              <w:spacing w:line="276" w:lineRule="auto"/>
              <w:rPr>
                <w:b/>
              </w:rPr>
            </w:pPr>
            <w:r w:rsidRPr="00616273">
              <w:rPr>
                <w:b/>
              </w:rPr>
              <w:t>Classificação e indexação</w:t>
            </w:r>
          </w:p>
          <w:p w:rsidR="00616273" w:rsidRPr="00616273" w:rsidRDefault="00616273" w:rsidP="00616273">
            <w:pPr>
              <w:spacing w:line="276" w:lineRule="auto"/>
            </w:pPr>
            <w:r w:rsidRPr="00616273">
              <w:t xml:space="preserve">Nesta etapa, as obras são classificadas e indexadas utilizando a Classificação </w:t>
            </w:r>
            <w:r>
              <w:t>Decimal Universal, versão resumida disponível do FIND,</w:t>
            </w:r>
            <w:r w:rsidRPr="00616273">
              <w:t xml:space="preserve"> para a atribuição do número de classificação</w:t>
            </w:r>
            <w:r>
              <w:t>.</w:t>
            </w:r>
          </w:p>
        </w:tc>
      </w:tr>
      <w:tr w:rsidR="00C206B5" w:rsidTr="00616273">
        <w:tc>
          <w:tcPr>
            <w:tcW w:w="846" w:type="dxa"/>
            <w:shd w:val="clear" w:color="auto" w:fill="FFE599" w:themeFill="accent4" w:themeFillTint="66"/>
            <w:vAlign w:val="center"/>
          </w:tcPr>
          <w:p w:rsidR="00C206B5" w:rsidRDefault="00C206B5" w:rsidP="00616273">
            <w:pPr>
              <w:spacing w:line="276" w:lineRule="auto"/>
              <w:jc w:val="center"/>
              <w:rPr>
                <w:rFonts w:ascii="Roboto" w:hAnsi="Roboto"/>
                <w:b/>
                <w:color w:val="FFFFFF" w:themeColor="background1"/>
                <w:sz w:val="96"/>
              </w:rPr>
            </w:pPr>
            <w:r>
              <w:rPr>
                <w:rFonts w:ascii="Roboto" w:hAnsi="Roboto"/>
                <w:b/>
                <w:color w:val="FFFFFF" w:themeColor="background1"/>
                <w:sz w:val="96"/>
              </w:rPr>
              <w:t>5</w:t>
            </w:r>
          </w:p>
        </w:tc>
        <w:tc>
          <w:tcPr>
            <w:tcW w:w="8215" w:type="dxa"/>
          </w:tcPr>
          <w:p w:rsidR="00C206B5" w:rsidRDefault="00C206B5" w:rsidP="00616273">
            <w:pPr>
              <w:spacing w:line="276" w:lineRule="auto"/>
              <w:rPr>
                <w:b/>
              </w:rPr>
            </w:pPr>
            <w:r>
              <w:rPr>
                <w:b/>
              </w:rPr>
              <w:t>Catalogação</w:t>
            </w:r>
          </w:p>
          <w:p w:rsidR="00C206B5" w:rsidRPr="00616273" w:rsidRDefault="00C206B5" w:rsidP="00616273">
            <w:pPr>
              <w:spacing w:line="276" w:lineRule="auto"/>
              <w:rPr>
                <w:b/>
              </w:rPr>
            </w:pPr>
            <w:r>
              <w:t>A catalogação de uma obra deve ser feita por sua página de rosto. Caso os dados estejam incompletos, deverão ser consideradas as informações da capa, orelha, folhas preliminares, etc., obedecendo, sempre, as fontes de informação para cada área previstas pelo AACR2</w:t>
            </w:r>
            <w:r>
              <w:t>. A catalogação deve ser feita conforme as o FRBR, primeiro o WORK (Trabalho), EXPRESSION (Expressão), MANIFESTATION (Manifestação) e ITEM (Item).</w:t>
            </w:r>
          </w:p>
        </w:tc>
      </w:tr>
      <w:tr w:rsidR="00C206B5" w:rsidTr="00616273">
        <w:tc>
          <w:tcPr>
            <w:tcW w:w="846" w:type="dxa"/>
            <w:shd w:val="clear" w:color="auto" w:fill="FFE599" w:themeFill="accent4" w:themeFillTint="66"/>
            <w:vAlign w:val="center"/>
          </w:tcPr>
          <w:p w:rsidR="00C206B5" w:rsidRDefault="00C206B5" w:rsidP="00616273">
            <w:pPr>
              <w:spacing w:line="276" w:lineRule="auto"/>
              <w:jc w:val="center"/>
              <w:rPr>
                <w:rFonts w:ascii="Roboto" w:hAnsi="Roboto"/>
                <w:b/>
                <w:color w:val="FFFFFF" w:themeColor="background1"/>
                <w:sz w:val="96"/>
              </w:rPr>
            </w:pPr>
            <w:r>
              <w:rPr>
                <w:rFonts w:ascii="Roboto" w:hAnsi="Roboto"/>
                <w:b/>
                <w:color w:val="FFFFFF" w:themeColor="background1"/>
                <w:sz w:val="96"/>
              </w:rPr>
              <w:t>6</w:t>
            </w:r>
          </w:p>
        </w:tc>
        <w:tc>
          <w:tcPr>
            <w:tcW w:w="8215" w:type="dxa"/>
          </w:tcPr>
          <w:p w:rsidR="00C206B5" w:rsidRDefault="00C206B5" w:rsidP="00616273">
            <w:pPr>
              <w:spacing w:line="276" w:lineRule="auto"/>
              <w:rPr>
                <w:b/>
              </w:rPr>
            </w:pPr>
            <w:r>
              <w:rPr>
                <w:b/>
              </w:rPr>
              <w:t>Impressão da etiqueta</w:t>
            </w:r>
          </w:p>
          <w:p w:rsidR="00C206B5" w:rsidRPr="00C206B5" w:rsidRDefault="00C206B5" w:rsidP="00616273">
            <w:pPr>
              <w:spacing w:line="276" w:lineRule="auto"/>
            </w:pPr>
            <w:r w:rsidRPr="00C206B5">
              <w:t xml:space="preserve">Com a catalogação concluída, </w:t>
            </w:r>
            <w:r>
              <w:t>faz-se a impressão das etiquetas para ser inserida na lombada das obras bibliográficas.</w:t>
            </w:r>
            <w:bookmarkStart w:id="0" w:name="_GoBack"/>
            <w:bookmarkEnd w:id="0"/>
          </w:p>
        </w:tc>
      </w:tr>
    </w:tbl>
    <w:p w:rsidR="00616273" w:rsidRPr="00616273" w:rsidRDefault="00616273" w:rsidP="00616273"/>
    <w:p w:rsidR="00616273" w:rsidRDefault="00616273" w:rsidP="008A5B2B"/>
    <w:p w:rsidR="008A5B2B" w:rsidRDefault="008A5B2B" w:rsidP="008A5B2B"/>
    <w:p w:rsidR="00057CC0" w:rsidRPr="008A5B2B" w:rsidRDefault="00057CC0" w:rsidP="008A5B2B">
      <w:pPr>
        <w:sectPr w:rsidR="00057CC0" w:rsidRPr="008A5B2B" w:rsidSect="00057CC0">
          <w:headerReference w:type="default" r:id="rId8"/>
          <w:footerReference w:type="default" r:id="rId9"/>
          <w:pgSz w:w="11906" w:h="16838"/>
          <w:pgMar w:top="1701" w:right="1134" w:bottom="1134" w:left="1701" w:header="708" w:footer="708" w:gutter="0"/>
          <w:cols w:space="708"/>
          <w:docGrid w:linePitch="360"/>
        </w:sectPr>
      </w:pPr>
    </w:p>
    <w:p w:rsidR="0024424C" w:rsidRPr="0024424C" w:rsidRDefault="0024424C" w:rsidP="00616273">
      <w:pPr>
        <w:rPr>
          <w:rFonts w:ascii="Courier New" w:hAnsi="Courier New" w:cs="Courier New"/>
        </w:rPr>
      </w:pPr>
    </w:p>
    <w:sectPr w:rsidR="0024424C" w:rsidRPr="0024424C" w:rsidSect="00057CC0">
      <w:headerReference w:type="default" r:id="rId10"/>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492" w:rsidRDefault="00877492" w:rsidP="00057CC0">
      <w:pPr>
        <w:spacing w:after="0" w:line="240" w:lineRule="auto"/>
      </w:pPr>
      <w:r>
        <w:separator/>
      </w:r>
    </w:p>
  </w:endnote>
  <w:endnote w:type="continuationSeparator" w:id="0">
    <w:p w:rsidR="00877492" w:rsidRDefault="00877492" w:rsidP="0005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10348" w:type="dxa"/>
      <w:tblInd w:w="-70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109"/>
    </w:tblGrid>
    <w:tr w:rsidR="007C3E68" w:rsidTr="007C3E68">
      <w:tc>
        <w:tcPr>
          <w:tcW w:w="5239" w:type="dxa"/>
        </w:tcPr>
        <w:p w:rsidR="007C3E68" w:rsidRDefault="00C206B5">
          <w:pPr>
            <w:pStyle w:val="Rodap"/>
          </w:pPr>
          <w:r>
            <w:t>FIND-100</w:t>
          </w:r>
        </w:p>
      </w:tc>
      <w:tc>
        <w:tcPr>
          <w:tcW w:w="5109" w:type="dxa"/>
        </w:tcPr>
        <w:p w:rsidR="007C3E68" w:rsidRDefault="007C3E68" w:rsidP="007C3E68">
          <w:pPr>
            <w:pStyle w:val="Rodap"/>
            <w:jc w:val="right"/>
          </w:pPr>
          <w:r>
            <w:t>Versão 1.0</w:t>
          </w:r>
          <w:r w:rsidR="00C206B5">
            <w:t xml:space="preserve"> </w:t>
          </w:r>
        </w:p>
      </w:tc>
    </w:tr>
  </w:tbl>
  <w:p w:rsidR="007C3E68" w:rsidRDefault="007C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492" w:rsidRDefault="00877492" w:rsidP="00057CC0">
      <w:pPr>
        <w:spacing w:after="0" w:line="240" w:lineRule="auto"/>
      </w:pPr>
      <w:r>
        <w:separator/>
      </w:r>
    </w:p>
  </w:footnote>
  <w:footnote w:type="continuationSeparator" w:id="0">
    <w:p w:rsidR="00877492" w:rsidRDefault="00877492" w:rsidP="00057C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690619"/>
      <w:docPartObj>
        <w:docPartGallery w:val="Page Numbers (Top of Page)"/>
        <w:docPartUnique/>
      </w:docPartObj>
    </w:sdtPr>
    <w:sdtContent>
      <w:p w:rsidR="00C206B5" w:rsidRDefault="00C206B5">
        <w:pPr>
          <w:pStyle w:val="Cabealho"/>
          <w:jc w:val="right"/>
        </w:pPr>
        <w:r>
          <w:fldChar w:fldCharType="begin"/>
        </w:r>
        <w:r>
          <w:instrText>PAGE   \* MERGEFORMAT</w:instrText>
        </w:r>
        <w:r>
          <w:fldChar w:fldCharType="separate"/>
        </w:r>
        <w:r w:rsidR="00B93D6B">
          <w:rPr>
            <w:noProof/>
          </w:rPr>
          <w:t>3</w:t>
        </w:r>
        <w:r>
          <w:fldChar w:fldCharType="end"/>
        </w:r>
      </w:p>
    </w:sdtContent>
  </w:sdt>
  <w:p w:rsidR="00057CC0" w:rsidRDefault="00057CC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24C" w:rsidRDefault="0024424C" w:rsidP="0024424C">
    <w:pPr>
      <w:pStyle w:val="Cabealho"/>
    </w:pPr>
  </w:p>
  <w:tbl>
    <w:tblPr>
      <w:tblStyle w:val="Tabelacomgrade"/>
      <w:tblW w:w="10348"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109"/>
    </w:tblGrid>
    <w:tr w:rsidR="0024424C" w:rsidTr="0024424C">
      <w:tc>
        <w:tcPr>
          <w:tcW w:w="5239" w:type="dxa"/>
        </w:tcPr>
        <w:p w:rsidR="0024424C" w:rsidRDefault="0024424C" w:rsidP="0024424C">
          <w:pPr>
            <w:pStyle w:val="Cabealho"/>
          </w:pPr>
          <w:r>
            <w:rPr>
              <w:noProof/>
              <w:lang w:eastAsia="pt-BR"/>
            </w:rPr>
            <w:drawing>
              <wp:inline distT="0" distB="0" distL="0" distR="0" wp14:anchorId="70D55879" wp14:editId="43B00149">
                <wp:extent cx="685800" cy="5842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imple-ceda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563" cy="595072"/>
                        </a:xfrm>
                        <a:prstGeom prst="rect">
                          <a:avLst/>
                        </a:prstGeom>
                      </pic:spPr>
                    </pic:pic>
                  </a:graphicData>
                </a:graphic>
              </wp:inline>
            </w:drawing>
          </w:r>
        </w:p>
      </w:tc>
      <w:tc>
        <w:tcPr>
          <w:tcW w:w="5109" w:type="dxa"/>
        </w:tcPr>
        <w:sdt>
          <w:sdtPr>
            <w:id w:val="635301257"/>
            <w:docPartObj>
              <w:docPartGallery w:val="Page Numbers (Top of Page)"/>
              <w:docPartUnique/>
            </w:docPartObj>
          </w:sdtPr>
          <w:sdtEndPr/>
          <w:sdtContent>
            <w:p w:rsidR="0024424C" w:rsidRDefault="0024424C" w:rsidP="0024424C">
              <w:pPr>
                <w:pStyle w:val="Cabealho"/>
                <w:jc w:val="right"/>
              </w:pPr>
              <w:r>
                <w:fldChar w:fldCharType="begin"/>
              </w:r>
              <w:r>
                <w:instrText>PAGE   \* MERGEFORMAT</w:instrText>
              </w:r>
              <w:r>
                <w:fldChar w:fldCharType="separate"/>
              </w:r>
              <w:r w:rsidR="00B93D6B">
                <w:rPr>
                  <w:noProof/>
                </w:rPr>
                <w:t>4</w:t>
              </w:r>
              <w:r>
                <w:fldChar w:fldCharType="end"/>
              </w:r>
            </w:p>
          </w:sdtContent>
        </w:sdt>
        <w:p w:rsidR="0024424C" w:rsidRDefault="0024424C" w:rsidP="0024424C">
          <w:pPr>
            <w:pStyle w:val="Cabealho"/>
          </w:pPr>
        </w:p>
      </w:tc>
    </w:tr>
  </w:tbl>
  <w:p w:rsidR="0024424C" w:rsidRDefault="0024424C" w:rsidP="0024424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05586"/>
    <w:multiLevelType w:val="hybridMultilevel"/>
    <w:tmpl w:val="9FB20DB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C0"/>
    <w:rsid w:val="00033370"/>
    <w:rsid w:val="00057CC0"/>
    <w:rsid w:val="0024424C"/>
    <w:rsid w:val="00580BCA"/>
    <w:rsid w:val="005B3F2B"/>
    <w:rsid w:val="00616273"/>
    <w:rsid w:val="007354D3"/>
    <w:rsid w:val="0078294A"/>
    <w:rsid w:val="007C3E68"/>
    <w:rsid w:val="00877492"/>
    <w:rsid w:val="008A5B2B"/>
    <w:rsid w:val="00A92C93"/>
    <w:rsid w:val="00B93D6B"/>
    <w:rsid w:val="00BB3302"/>
    <w:rsid w:val="00C20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0332F-414B-4FC8-A1D8-71F6DDA3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4C"/>
    <w:pPr>
      <w:spacing w:line="360" w:lineRule="auto"/>
      <w:jc w:val="both"/>
    </w:pPr>
    <w:rPr>
      <w:rFonts w:ascii="Segoe UI Light" w:hAnsi="Segoe UI Light"/>
      <w:sz w:val="24"/>
    </w:rPr>
  </w:style>
  <w:style w:type="paragraph" w:styleId="Ttulo1">
    <w:name w:val="heading 1"/>
    <w:basedOn w:val="Normal"/>
    <w:next w:val="Normal"/>
    <w:link w:val="Ttulo1Char"/>
    <w:uiPriority w:val="9"/>
    <w:qFormat/>
    <w:rsid w:val="00616273"/>
    <w:pPr>
      <w:keepNext/>
      <w:keepLines/>
      <w:spacing w:before="240" w:after="0"/>
      <w:outlineLvl w:val="0"/>
    </w:pPr>
    <w:rPr>
      <w:rFonts w:ascii="Arial" w:eastAsiaTheme="majorEastAsia" w:hAnsi="Arial"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57C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57CC0"/>
  </w:style>
  <w:style w:type="paragraph" w:styleId="Rodap">
    <w:name w:val="footer"/>
    <w:basedOn w:val="Normal"/>
    <w:link w:val="RodapChar"/>
    <w:uiPriority w:val="99"/>
    <w:unhideWhenUsed/>
    <w:rsid w:val="00057CC0"/>
    <w:pPr>
      <w:tabs>
        <w:tab w:val="center" w:pos="4252"/>
        <w:tab w:val="right" w:pos="8504"/>
      </w:tabs>
      <w:spacing w:after="0" w:line="240" w:lineRule="auto"/>
    </w:pPr>
  </w:style>
  <w:style w:type="character" w:customStyle="1" w:styleId="RodapChar">
    <w:name w:val="Rodapé Char"/>
    <w:basedOn w:val="Fontepargpadro"/>
    <w:link w:val="Rodap"/>
    <w:uiPriority w:val="99"/>
    <w:rsid w:val="00057CC0"/>
  </w:style>
  <w:style w:type="table" w:styleId="Tabelacomgrade">
    <w:name w:val="Table Grid"/>
    <w:basedOn w:val="Tabelanormal"/>
    <w:uiPriority w:val="39"/>
    <w:rsid w:val="00057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C3E68"/>
    <w:pPr>
      <w:ind w:left="720"/>
      <w:contextualSpacing/>
    </w:pPr>
  </w:style>
  <w:style w:type="character" w:customStyle="1" w:styleId="Ttulo1Char">
    <w:name w:val="Título 1 Char"/>
    <w:basedOn w:val="Fontepargpadro"/>
    <w:link w:val="Ttulo1"/>
    <w:uiPriority w:val="9"/>
    <w:rsid w:val="00616273"/>
    <w:rPr>
      <w:rFonts w:ascii="Arial" w:eastAsiaTheme="majorEastAsia" w:hAnsi="Arial" w:cstheme="majorBidi"/>
      <w:b/>
      <w:color w:val="000000" w:themeColor="text1"/>
      <w:sz w:val="24"/>
      <w:szCs w:val="32"/>
    </w:rPr>
  </w:style>
  <w:style w:type="paragraph" w:styleId="Textodebalo">
    <w:name w:val="Balloon Text"/>
    <w:basedOn w:val="Normal"/>
    <w:link w:val="TextodebaloChar"/>
    <w:uiPriority w:val="99"/>
    <w:semiHidden/>
    <w:unhideWhenUsed/>
    <w:rsid w:val="00B93D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93D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357</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cp:lastPrinted>2019-03-18T11:22:00Z</cp:lastPrinted>
  <dcterms:created xsi:type="dcterms:W3CDTF">2019-03-18T10:54:00Z</dcterms:created>
  <dcterms:modified xsi:type="dcterms:W3CDTF">2019-03-18T11:28:00Z</dcterms:modified>
</cp:coreProperties>
</file>