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F4D78"/>
          <w:sz w:val="48"/>
        </w:rPr>
        <w:t>Easy Language Learning Tool</w:t>
      </w:r>
    </w:p>
    <w:p>
      <w:pPr>
        <w:jc w:val="center"/>
      </w:pPr>
      <w:r>
        <w:t>Project Plan · Version 4.1 · Full-card Study, Reusable Audio and Strict Input Safety RC</w:t>
      </w:r>
    </w:p>
    <w:p>
      <w:pPr>
        <w:jc w:val="center"/>
      </w:pPr>
      <w:r>
        <w:t>Windows 10/11 · PySide6 · 5,000 ranked words · Seven languages · Eight options · Four workflow tabs</w:t>
      </w:r>
    </w:p>
    <w:p>
      <w:pPr>
        <w:pStyle w:val="Heading1"/>
      </w:pPr>
      <w:r>
        <w:t>1. Executive summary</w:t>
      </w:r>
    </w:p>
    <w:p>
      <w:pPr>
        <w:spacing w:after="120" w:line="264" w:lineRule="auto"/>
      </w:pPr>
      <w:r>
        <w:t>Easy Language Learning Tool is a Windows desktop application that creates structured language-learning sentence workbooks, studies those workbooks as ranked flashcards, and converts them into natural-sounding, resumable MP3 lessons. The application selects study words deterministically from licensed frequency data; an AI provider writes and translates examples but never decides which words are most common.</w:t>
      </w:r>
    </w:p>
    <w:p>
      <w:pPr>
        <w:spacing w:after="120" w:line="264" w:lineRule="auto"/>
      </w:pPr>
      <w:r>
        <w:t>The approved revision covers the 5,000 most common words across all parts of speech. It supports US English, European Spanish, German, European Portuguese, French, Italian, Thai script, and tone-marked Paiboon romanization. Extra forms adapt to each word type while every job remains capped at 5,000 final rows.</w:t>
      </w:r>
    </w:p>
    <w:p>
      <w:pPr>
        <w:pStyle w:val="Heading1"/>
      </w:pPr>
      <w:r>
        <w:t>2. Product goals and boundaries</w:t>
      </w:r>
    </w:p>
    <w:p>
      <w:pPr>
        <w:pStyle w:val="ListBullet"/>
        <w:spacing w:after="160" w:line="280" w:lineRule="auto"/>
        <w:ind w:left="720" w:hanging="360"/>
      </w:pPr>
      <w:r>
        <w:t>Provide a transparent, repeatable route from ranked vocabulary to CEFR-controlled examples.</w:t>
      </w:r>
    </w:p>
    <w:p>
      <w:pPr>
        <w:pStyle w:val="ListBullet"/>
        <w:spacing w:after="160" w:line="280" w:lineRule="auto"/>
        <w:ind w:left="720" w:hanging="360"/>
      </w:pPr>
      <w:r>
        <w:t>Create Excel files that are immediately usable for study, review, import, and TTS.</w:t>
      </w:r>
    </w:p>
    <w:p>
      <w:pPr>
        <w:pStyle w:val="ListBullet"/>
        <w:spacing w:after="160" w:line="280" w:lineRule="auto"/>
        <w:ind w:left="720" w:hanging="360"/>
      </w:pPr>
      <w:r>
        <w:t>Support cloud APIs supplied by the user and a local Ollama alternative.</w:t>
      </w:r>
    </w:p>
    <w:p>
      <w:pPr>
        <w:pStyle w:val="ListBullet"/>
        <w:spacing w:after="160" w:line="280" w:lineRule="auto"/>
        <w:ind w:left="720" w:hanging="360"/>
      </w:pPr>
      <w:r>
        <w:t>Keep user files, credentials, history, recovery metadata, and destructive actions safe and local.</w:t>
      </w:r>
    </w:p>
    <w:p>
      <w:pPr>
        <w:pStyle w:val="ListBullet"/>
        <w:spacing w:after="160" w:line="280" w:lineRule="auto"/>
        <w:ind w:left="720" w:hanging="360"/>
      </w:pPr>
      <w:r>
        <w:t>Ship as a normal free Windows installer with its required runtime and FFmpeg files. A globe rising from an open book is embedded as the native executable, installer, window, taskbar, Start menu, desktop shortcut, and uninstall icon; an explicit Windows AppUserModelID keeps the open-window card grouped correctly.</w:t>
      </w:r>
    </w:p>
    <w:p>
      <w:pPr>
        <w:spacing w:after="120" w:line="264" w:lineRule="auto"/>
      </w:pPr>
      <w:r>
        <w:t>The application is not a dictionary authority, certification test, or guarantee of perfect machine translation. Automated validation reports uncertainty; the production corpus must pass its defined release gate.</w:t>
      </w:r>
    </w:p>
    <w:p>
      <w:pPr>
        <w:pStyle w:val="Heading1"/>
      </w:pPr>
      <w:r>
        <w:t>3. Supported languages and register</w:t>
      </w:r>
    </w:p>
    <w:tbl>
      <w:tblPr>
        <w:tblStyle w:val="TableGrid"/>
        <w:tblW w:type="dxa" w:w="9360"/>
        <w:jc w:val="center"/>
        <w:tblLayout w:type="fixed"/>
        <w:tblLook w:firstColumn="1" w:firstRow="1" w:lastColumn="0" w:lastRow="0" w:noHBand="0" w:noVBand="1" w:val="04A0"/>
        <w:tblInd w:w="120" w:type="dxa"/>
      </w:tblPr>
      <w:tblGrid>
        <w:gridCol w:w="1500"/>
        <w:gridCol w:w="2600"/>
        <w:gridCol w:w="5260"/>
      </w:tblGrid>
      <w:tr>
        <w:tc>
          <w:tcPr>
            <w:tcW w:type="dxa" w:w="1500"/>
            <w:shd w:fill="F2F4F7"/>
            <w:vAlign w:val="center"/>
          </w:tcPr>
          <w:p>
            <w:r>
              <w:rPr>
                <w:b/>
                <w:color w:val="1F4D78"/>
              </w:rPr>
              <w:t>Locale</w:t>
            </w:r>
          </w:p>
        </w:tc>
        <w:tc>
          <w:tcPr>
            <w:tcW w:type="dxa" w:w="2600"/>
            <w:shd w:fill="F2F4F7"/>
            <w:vAlign w:val="center"/>
          </w:tcPr>
          <w:p>
            <w:r>
              <w:rPr>
                <w:b/>
                <w:color w:val="1F4D78"/>
              </w:rPr>
              <w:t>Language</w:t>
            </w:r>
          </w:p>
        </w:tc>
        <w:tc>
          <w:tcPr>
            <w:tcW w:type="dxa" w:w="5260"/>
            <w:shd w:fill="F2F4F7"/>
            <w:vAlign w:val="center"/>
          </w:tcPr>
          <w:p>
            <w:r>
              <w:rPr>
                <w:b/>
                <w:color w:val="1F4D78"/>
              </w:rPr>
              <w:t>Required register</w:t>
            </w:r>
          </w:p>
        </w:tc>
      </w:tr>
      <w:tr>
        <w:tc>
          <w:tcPr>
            <w:tcW w:type="dxa" w:w="1500"/>
            <w:vAlign w:val="center"/>
          </w:tcPr>
          <w:p>
            <w:r>
              <w:t>en-US</w:t>
            </w:r>
          </w:p>
        </w:tc>
        <w:tc>
          <w:tcPr>
            <w:tcW w:type="dxa" w:w="2600"/>
            <w:vAlign w:val="center"/>
          </w:tcPr>
          <w:p>
            <w:r>
              <w:t>US English</w:t>
            </w:r>
          </w:p>
        </w:tc>
        <w:tc>
          <w:tcPr>
            <w:tcW w:type="dxa" w:w="5260"/>
            <w:vAlign w:val="center"/>
          </w:tcPr>
          <w:p>
            <w:r>
              <w:t>Formal standard US usage</w:t>
            </w:r>
          </w:p>
        </w:tc>
      </w:tr>
      <w:tr>
        <w:tc>
          <w:tcPr>
            <w:tcW w:type="dxa" w:w="1500"/>
            <w:vAlign w:val="center"/>
          </w:tcPr>
          <w:p>
            <w:r>
              <w:t>es-ES</w:t>
            </w:r>
          </w:p>
        </w:tc>
        <w:tc>
          <w:tcPr>
            <w:tcW w:type="dxa" w:w="2600"/>
            <w:vAlign w:val="center"/>
          </w:tcPr>
          <w:p>
            <w:r>
              <w:t>European Spanish</w:t>
            </w:r>
          </w:p>
        </w:tc>
        <w:tc>
          <w:tcPr>
            <w:tcW w:type="dxa" w:w="5260"/>
            <w:vAlign w:val="center"/>
          </w:tcPr>
          <w:p>
            <w:r>
              <w:t>Formal standard Spain usage</w:t>
            </w:r>
          </w:p>
        </w:tc>
      </w:tr>
      <w:tr>
        <w:tc>
          <w:tcPr>
            <w:tcW w:type="dxa" w:w="1500"/>
            <w:vAlign w:val="center"/>
          </w:tcPr>
          <w:p>
            <w:r>
              <w:t>de-DE</w:t>
            </w:r>
          </w:p>
        </w:tc>
        <w:tc>
          <w:tcPr>
            <w:tcW w:type="dxa" w:w="2600"/>
            <w:vAlign w:val="center"/>
          </w:tcPr>
          <w:p>
            <w:r>
              <w:t>German</w:t>
            </w:r>
          </w:p>
        </w:tc>
        <w:tc>
          <w:tcPr>
            <w:tcW w:type="dxa" w:w="5260"/>
            <w:vAlign w:val="center"/>
          </w:tcPr>
          <w:p>
            <w:r>
              <w:t>Formal standard German</w:t>
            </w:r>
          </w:p>
        </w:tc>
      </w:tr>
      <w:tr>
        <w:tc>
          <w:tcPr>
            <w:tcW w:type="dxa" w:w="1500"/>
            <w:vAlign w:val="center"/>
          </w:tcPr>
          <w:p>
            <w:r>
              <w:t>pt-PT</w:t>
            </w:r>
          </w:p>
        </w:tc>
        <w:tc>
          <w:tcPr>
            <w:tcW w:type="dxa" w:w="2600"/>
            <w:vAlign w:val="center"/>
          </w:tcPr>
          <w:p>
            <w:r>
              <w:t>European Portuguese</w:t>
            </w:r>
          </w:p>
        </w:tc>
        <w:tc>
          <w:tcPr>
            <w:tcW w:type="dxa" w:w="5260"/>
            <w:vAlign w:val="center"/>
          </w:tcPr>
          <w:p>
            <w:r>
              <w:t>Formal standard Portugal usage</w:t>
            </w:r>
          </w:p>
        </w:tc>
      </w:tr>
      <w:tr>
        <w:tc>
          <w:tcPr>
            <w:tcW w:type="dxa" w:w="1500"/>
            <w:vAlign w:val="center"/>
          </w:tcPr>
          <w:p>
            <w:r>
              <w:t>fr-FR</w:t>
            </w:r>
          </w:p>
        </w:tc>
        <w:tc>
          <w:tcPr>
            <w:tcW w:type="dxa" w:w="2600"/>
            <w:vAlign w:val="center"/>
          </w:tcPr>
          <w:p>
            <w:r>
              <w:t>French</w:t>
            </w:r>
          </w:p>
        </w:tc>
        <w:tc>
          <w:tcPr>
            <w:tcW w:type="dxa" w:w="5260"/>
            <w:vAlign w:val="center"/>
          </w:tcPr>
          <w:p>
            <w:r>
              <w:t>Formal standard French</w:t>
            </w:r>
          </w:p>
        </w:tc>
      </w:tr>
      <w:tr>
        <w:tc>
          <w:tcPr>
            <w:tcW w:type="dxa" w:w="1500"/>
            <w:vAlign w:val="center"/>
          </w:tcPr>
          <w:p>
            <w:r>
              <w:t>it-IT</w:t>
            </w:r>
          </w:p>
        </w:tc>
        <w:tc>
          <w:tcPr>
            <w:tcW w:type="dxa" w:w="2600"/>
            <w:vAlign w:val="center"/>
          </w:tcPr>
          <w:p>
            <w:r>
              <w:t>Italian</w:t>
            </w:r>
          </w:p>
        </w:tc>
        <w:tc>
          <w:tcPr>
            <w:tcW w:type="dxa" w:w="5260"/>
            <w:vAlign w:val="center"/>
          </w:tcPr>
          <w:p>
            <w:r>
              <w:t>Formal standard Italian</w:t>
            </w:r>
          </w:p>
        </w:tc>
      </w:tr>
      <w:tr>
        <w:tc>
          <w:tcPr>
            <w:tcW w:type="dxa" w:w="1500"/>
          </w:tcPr>
          <w:p>
            <w:r>
              <w:t>th-Thai-TH</w:t>
            </w:r>
          </w:p>
        </w:tc>
        <w:tc>
          <w:tcPr>
            <w:tcW w:type="dxa" w:w="2600"/>
          </w:tcPr>
          <w:p>
            <w:r>
              <w:t>Thai (Thai script)</w:t>
            </w:r>
          </w:p>
        </w:tc>
        <w:tc>
          <w:tcPr>
            <w:tcW w:type="dxa" w:w="5260"/>
          </w:tcPr>
          <w:p>
            <w:r>
              <w:t>Formal standard Thai in Thai script</w:t>
            </w:r>
          </w:p>
        </w:tc>
      </w:tr>
      <w:tr>
        <w:tc>
          <w:tcPr>
            <w:tcW w:type="dxa" w:w="1500"/>
          </w:tcPr>
          <w:p>
            <w:r>
              <w:t>th-Latn-TH</w:t>
            </w:r>
          </w:p>
        </w:tc>
        <w:tc>
          <w:tcPr>
            <w:tcW w:type="dxa" w:w="2600"/>
          </w:tcPr>
          <w:p>
            <w:r>
              <w:t>Thai (Paiboon romanization)</w:t>
            </w:r>
          </w:p>
        </w:tc>
        <w:tc>
          <w:tcPr>
            <w:tcW w:type="dxa" w:w="5260"/>
          </w:tcPr>
          <w:p>
            <w:r>
              <w:t>Tone-marked Paiboon-style romanization of standard Thai</w:t>
            </w:r>
          </w:p>
        </w:tc>
      </w:tr>
    </w:tbl>
    <w:p>
      <w:pPr>
        <w:pStyle w:val="Heading1"/>
      </w:pPr>
      <w:r>
        <w:t>4. Sentence Creation</w:t>
      </w:r>
    </w:p>
    <w:p>
      <w:pPr>
        <w:pStyle w:val="Heading2"/>
      </w:pPr>
      <w:r>
        <w:t>4.1 Ranked-word selection</w:t>
      </w:r>
    </w:p>
    <w:p>
      <w:pPr>
        <w:spacing w:after="120" w:line="264" w:lineRule="auto"/>
      </w:pPr>
      <w:r>
        <w:t>Each language has 5,000 ranked study entries spanning verbs, nouns, adjectives, adverbs, pronouns, determiners, conjunctions, prepositions, and other useful categories. The application reads this internal list in rank order. Normalized lemmas remain unique so base words do not repeat before list exhaustion; each selected record still carries its assigned part of speech.</w:t>
      </w:r>
    </w:p>
    <w:p>
      <w:pPr>
        <w:pStyle w:val="Heading2"/>
      </w:pPr>
      <w:r>
        <w:t>4.2 Final-row rule</w:t>
      </w:r>
    </w:p>
    <w:p>
      <w:pPr>
        <w:spacing w:after="120" w:line="264" w:lineRule="auto"/>
      </w:pPr>
      <w:r>
        <w:t>The Sentence Creation page displays this rule above the settings: final rows = base words × (1 + extra forms). The hard maximum is 5,000. When the extra-form value changes, the base-word control changes its maximum immediately.</w:t>
      </w:r>
    </w:p>
    <w:tbl>
      <w:tblPr>
        <w:tblStyle w:val="TableGrid"/>
        <w:tblW w:type="dxa" w:w="9360"/>
        <w:jc w:val="center"/>
        <w:tblLayout w:type="fixed"/>
        <w:tblLook w:firstColumn="1" w:firstRow="1" w:lastColumn="0" w:lastRow="0" w:noHBand="0" w:noVBand="1" w:val="04A0"/>
        <w:tblInd w:w="120" w:type="dxa"/>
      </w:tblPr>
      <w:tblGrid>
        <w:gridCol w:w="1800"/>
        <w:gridCol w:w="2100"/>
        <w:gridCol w:w="2600"/>
        <w:gridCol w:w="2860"/>
      </w:tblGrid>
      <w:tr>
        <w:tc>
          <w:tcPr>
            <w:tcW w:type="dxa" w:w="1800"/>
            <w:shd w:fill="F2F4F7"/>
            <w:vAlign w:val="center"/>
          </w:tcPr>
          <w:p>
            <w:r>
              <w:rPr>
                <w:b/>
                <w:color w:val="1F4D78"/>
              </w:rPr>
              <w:t>Extra forms</w:t>
            </w:r>
          </w:p>
        </w:tc>
        <w:tc>
          <w:tcPr>
            <w:tcW w:type="dxa" w:w="2100"/>
            <w:shd w:fill="F2F4F7"/>
            <w:vAlign w:val="center"/>
          </w:tcPr>
          <w:p>
            <w:r>
              <w:rPr>
                <w:b/>
                <w:color w:val="1F4D78"/>
              </w:rPr>
              <w:t>Rows per base word</w:t>
            </w:r>
          </w:p>
        </w:tc>
        <w:tc>
          <w:tcPr>
            <w:tcW w:type="dxa" w:w="2600"/>
            <w:shd w:fill="F2F4F7"/>
            <w:vAlign w:val="center"/>
          </w:tcPr>
          <w:p>
            <w:r>
              <w:rPr>
                <w:b/>
                <w:color w:val="1F4D78"/>
              </w:rPr>
              <w:t>Maximum base words</w:t>
            </w:r>
          </w:p>
        </w:tc>
        <w:tc>
          <w:tcPr>
            <w:tcW w:type="dxa" w:w="2860"/>
            <w:shd w:fill="F2F4F7"/>
            <w:vAlign w:val="center"/>
          </w:tcPr>
          <w:p>
            <w:r>
              <w:rPr>
                <w:b/>
                <w:color w:val="1F4D78"/>
              </w:rPr>
              <w:t>Maximum final rows</w:t>
            </w:r>
          </w:p>
        </w:tc>
      </w:tr>
      <w:tr>
        <w:tc>
          <w:tcPr>
            <w:tcW w:type="dxa" w:w="1800"/>
            <w:vAlign w:val="center"/>
          </w:tcPr>
          <w:p>
            <w:r>
              <w:t>0</w:t>
            </w:r>
          </w:p>
        </w:tc>
        <w:tc>
          <w:tcPr>
            <w:tcW w:type="dxa" w:w="2100"/>
            <w:vAlign w:val="center"/>
          </w:tcPr>
          <w:p>
            <w:r>
              <w:t>1</w:t>
            </w:r>
          </w:p>
        </w:tc>
        <w:tc>
          <w:tcPr>
            <w:tcW w:type="dxa" w:w="2600"/>
            <w:vAlign w:val="center"/>
          </w:tcPr>
          <w:p>
            <w:r>
              <w:t>5,000</w:t>
            </w:r>
          </w:p>
        </w:tc>
        <w:tc>
          <w:tcPr>
            <w:tcW w:type="dxa" w:w="2860"/>
            <w:vAlign w:val="center"/>
          </w:tcPr>
          <w:p>
            <w:r>
              <w:t>5,000</w:t>
            </w:r>
          </w:p>
        </w:tc>
      </w:tr>
      <w:tr>
        <w:tc>
          <w:tcPr>
            <w:tcW w:type="dxa" w:w="1800"/>
            <w:vAlign w:val="center"/>
          </w:tcPr>
          <w:p>
            <w:r>
              <w:t>1</w:t>
            </w:r>
          </w:p>
        </w:tc>
        <w:tc>
          <w:tcPr>
            <w:tcW w:type="dxa" w:w="2100"/>
            <w:vAlign w:val="center"/>
          </w:tcPr>
          <w:p>
            <w:r>
              <w:t>2</w:t>
            </w:r>
          </w:p>
        </w:tc>
        <w:tc>
          <w:tcPr>
            <w:tcW w:type="dxa" w:w="2600"/>
            <w:vAlign w:val="center"/>
          </w:tcPr>
          <w:p>
            <w:r>
              <w:t>2,500</w:t>
            </w:r>
          </w:p>
        </w:tc>
        <w:tc>
          <w:tcPr>
            <w:tcW w:type="dxa" w:w="2860"/>
            <w:vAlign w:val="center"/>
          </w:tcPr>
          <w:p>
            <w:r>
              <w:t>5,000</w:t>
            </w:r>
          </w:p>
        </w:tc>
      </w:tr>
      <w:tr>
        <w:tc>
          <w:tcPr>
            <w:tcW w:type="dxa" w:w="1800"/>
            <w:vAlign w:val="center"/>
          </w:tcPr>
          <w:p>
            <w:r>
              <w:t>2</w:t>
            </w:r>
          </w:p>
        </w:tc>
        <w:tc>
          <w:tcPr>
            <w:tcW w:type="dxa" w:w="2100"/>
            <w:vAlign w:val="center"/>
          </w:tcPr>
          <w:p>
            <w:r>
              <w:t>3</w:t>
            </w:r>
          </w:p>
        </w:tc>
        <w:tc>
          <w:tcPr>
            <w:tcW w:type="dxa" w:w="2600"/>
            <w:vAlign w:val="center"/>
          </w:tcPr>
          <w:p>
            <w:r>
              <w:t>1,666</w:t>
            </w:r>
          </w:p>
        </w:tc>
        <w:tc>
          <w:tcPr>
            <w:tcW w:type="dxa" w:w="2860"/>
            <w:vAlign w:val="center"/>
          </w:tcPr>
          <w:p>
            <w:r>
              <w:t>4,998</w:t>
            </w:r>
          </w:p>
        </w:tc>
      </w:tr>
      <w:tr>
        <w:tc>
          <w:tcPr>
            <w:tcW w:type="dxa" w:w="1800"/>
            <w:vAlign w:val="center"/>
          </w:tcPr>
          <w:p>
            <w:r>
              <w:t>3</w:t>
            </w:r>
          </w:p>
        </w:tc>
        <w:tc>
          <w:tcPr>
            <w:tcW w:type="dxa" w:w="2100"/>
            <w:vAlign w:val="center"/>
          </w:tcPr>
          <w:p>
            <w:r>
              <w:t>4</w:t>
            </w:r>
          </w:p>
        </w:tc>
        <w:tc>
          <w:tcPr>
            <w:tcW w:type="dxa" w:w="2600"/>
            <w:vAlign w:val="center"/>
          </w:tcPr>
          <w:p>
            <w:r>
              <w:t>1,250</w:t>
            </w:r>
          </w:p>
        </w:tc>
        <w:tc>
          <w:tcPr>
            <w:tcW w:type="dxa" w:w="2860"/>
            <w:vAlign w:val="center"/>
          </w:tcPr>
          <w:p>
            <w:r>
              <w:t>5,000</w:t>
            </w:r>
          </w:p>
        </w:tc>
      </w:tr>
      <w:tr>
        <w:tc>
          <w:tcPr>
            <w:tcW w:type="dxa" w:w="1800"/>
            <w:vAlign w:val="center"/>
          </w:tcPr>
          <w:p>
            <w:r>
              <w:t>4</w:t>
            </w:r>
          </w:p>
        </w:tc>
        <w:tc>
          <w:tcPr>
            <w:tcW w:type="dxa" w:w="2100"/>
            <w:vAlign w:val="center"/>
          </w:tcPr>
          <w:p>
            <w:r>
              <w:t>5</w:t>
            </w:r>
          </w:p>
        </w:tc>
        <w:tc>
          <w:tcPr>
            <w:tcW w:type="dxa" w:w="2600"/>
            <w:vAlign w:val="center"/>
          </w:tcPr>
          <w:p>
            <w:r>
              <w:t>1,000</w:t>
            </w:r>
          </w:p>
        </w:tc>
        <w:tc>
          <w:tcPr>
            <w:tcW w:type="dxa" w:w="2860"/>
            <w:vAlign w:val="center"/>
          </w:tcPr>
          <w:p>
            <w:r>
              <w:t>5,000</w:t>
            </w:r>
          </w:p>
        </w:tc>
      </w:tr>
    </w:tbl>
    <w:p>
      <w:pPr>
        <w:pStyle w:val="Heading2"/>
      </w:pPr>
      <w:r>
        <w:t>4.3 Part-of-speech-aware forms</w:t>
      </w:r>
    </w:p>
    <w:tbl>
      <w:tblPr>
        <w:tblStyle w:val="TableGrid"/>
        <w:tblW w:type="dxa" w:w="9360"/>
        <w:jc w:val="center"/>
        <w:tblLayout w:type="fixed"/>
        <w:tblLook w:firstColumn="1" w:firstRow="1" w:lastColumn="0" w:lastRow="0" w:noHBand="0" w:noVBand="1" w:val="04A0"/>
        <w:tblInd w:w="120" w:type="dxa"/>
      </w:tblPr>
      <w:tblGrid>
        <w:gridCol w:w="2400"/>
        <w:gridCol w:w="6960"/>
      </w:tblGrid>
      <w:tr>
        <w:tc>
          <w:tcPr>
            <w:tcW w:type="dxa" w:w="2400"/>
            <w:shd w:fill="F2F4F7"/>
            <w:vAlign w:val="center"/>
          </w:tcPr>
          <w:p>
            <w:r>
              <w:rPr>
                <w:b/>
                <w:color w:val="1F4D78"/>
              </w:rPr>
              <w:t>Word type</w:t>
            </w:r>
          </w:p>
        </w:tc>
        <w:tc>
          <w:tcPr>
            <w:tcW w:type="dxa" w:w="6960"/>
            <w:shd w:fill="F2F4F7"/>
            <w:vAlign w:val="center"/>
          </w:tcPr>
          <w:p>
            <w:r>
              <w:rPr>
                <w:b/>
                <w:color w:val="1F4D78"/>
              </w:rPr>
              <w:t>Examples of valid variation</w:t>
            </w:r>
          </w:p>
        </w:tc>
      </w:tr>
      <w:tr>
        <w:tc>
          <w:tcPr>
            <w:tcW w:type="dxa" w:w="2400"/>
            <w:vAlign w:val="center"/>
          </w:tcPr>
          <w:p>
            <w:r>
              <w:t>Verb</w:t>
            </w:r>
          </w:p>
        </w:tc>
        <w:tc>
          <w:tcPr>
            <w:tcW w:type="dxa" w:w="6960"/>
            <w:vAlign w:val="center"/>
          </w:tcPr>
          <w:p>
            <w:r>
              <w:t>tense, mood, person, participle: be / was / been</w:t>
            </w:r>
          </w:p>
        </w:tc>
      </w:tr>
      <w:tr>
        <w:tc>
          <w:tcPr>
            <w:tcW w:type="dxa" w:w="2400"/>
            <w:vAlign w:val="center"/>
          </w:tcPr>
          <w:p>
            <w:r>
              <w:t>Noun</w:t>
            </w:r>
          </w:p>
        </w:tc>
        <w:tc>
          <w:tcPr>
            <w:tcW w:type="dxa" w:w="6960"/>
            <w:vAlign w:val="center"/>
          </w:tcPr>
          <w:p>
            <w:r>
              <w:t>number or case: tool / tools</w:t>
            </w:r>
          </w:p>
        </w:tc>
      </w:tr>
      <w:tr>
        <w:tc>
          <w:tcPr>
            <w:tcW w:type="dxa" w:w="2400"/>
            <w:vAlign w:val="center"/>
          </w:tcPr>
          <w:p>
            <w:r>
              <w:t>Adjective</w:t>
            </w:r>
          </w:p>
        </w:tc>
        <w:tc>
          <w:tcPr>
            <w:tcW w:type="dxa" w:w="6960"/>
            <w:vAlign w:val="center"/>
          </w:tcPr>
          <w:p>
            <w:r>
              <w:t>agreement, case, or comparison: good / better</w:t>
            </w:r>
          </w:p>
        </w:tc>
      </w:tr>
      <w:tr>
        <w:tc>
          <w:tcPr>
            <w:tcW w:type="dxa" w:w="2400"/>
            <w:vAlign w:val="center"/>
          </w:tcPr>
          <w:p>
            <w:r>
              <w:t>Pronoun/determiner/article</w:t>
            </w:r>
          </w:p>
        </w:tc>
        <w:tc>
          <w:tcPr>
            <w:tcW w:type="dxa" w:w="6960"/>
            <w:vAlign w:val="center"/>
          </w:tcPr>
          <w:p>
            <w:r>
              <w:t>case, gender, or number where supported</w:t>
            </w:r>
          </w:p>
        </w:tc>
      </w:tr>
      <w:tr>
        <w:tc>
          <w:tcPr>
            <w:tcW w:type="dxa" w:w="2400"/>
            <w:vAlign w:val="center"/>
          </w:tcPr>
          <w:p>
            <w:r>
              <w:t>Invariant/limited</w:t>
            </w:r>
          </w:p>
        </w:tc>
        <w:tc>
          <w:tcPr>
            <w:tcW w:type="dxa" w:w="6960"/>
            <w:vAlign w:val="center"/>
          </w:tcPr>
          <w:p>
            <w:r>
              <w:t>same surface form in a distinct standalone context, labelled invariant-context-N</w:t>
            </w:r>
          </w:p>
        </w:tc>
      </w:tr>
    </w:tbl>
    <w:p>
      <w:pPr>
        <w:pStyle w:val="Heading2"/>
      </w:pPr>
      <w:r>
        <w:t>4.4 CEFR, sentence type, and pronouns</w:t>
      </w:r>
    </w:p>
    <w:tbl>
      <w:tblPr>
        <w:tblStyle w:val="TableGrid"/>
        <w:tblW w:type="dxa" w:w="9360"/>
        <w:jc w:val="center"/>
        <w:tblLayout w:type="fixed"/>
        <w:tblLook w:firstColumn="1" w:firstRow="1" w:lastColumn="0" w:lastRow="0" w:noHBand="0" w:noVBand="1" w:val="04A0"/>
        <w:tblInd w:w="120" w:type="dxa"/>
      </w:tblPr>
      <w:tblGrid>
        <w:gridCol w:w="3000"/>
        <w:gridCol w:w="6360"/>
      </w:tblGrid>
      <w:tr>
        <w:tc>
          <w:tcPr>
            <w:tcW w:type="dxa" w:w="3000"/>
            <w:shd w:fill="F2F4F7"/>
            <w:vAlign w:val="center"/>
          </w:tcPr>
          <w:p>
            <w:r>
              <w:rPr>
                <w:b/>
                <w:color w:val="1F4D78"/>
              </w:rPr>
              <w:t>CEFR</w:t>
            </w:r>
          </w:p>
        </w:tc>
        <w:tc>
          <w:tcPr>
            <w:tcW w:type="dxa" w:w="6360"/>
            <w:shd w:fill="F2F4F7"/>
            <w:vAlign w:val="center"/>
          </w:tcPr>
          <w:p>
            <w:r>
              <w:rPr>
                <w:b/>
                <w:color w:val="1F4D78"/>
              </w:rPr>
              <w:t>Maximum words</w:t>
            </w:r>
          </w:p>
        </w:tc>
      </w:tr>
      <w:tr>
        <w:tc>
          <w:tcPr>
            <w:tcW w:type="dxa" w:w="3000"/>
            <w:vAlign w:val="center"/>
          </w:tcPr>
          <w:p>
            <w:r>
              <w:t>A1</w:t>
            </w:r>
          </w:p>
        </w:tc>
        <w:tc>
          <w:tcPr>
            <w:tcW w:type="dxa" w:w="6360"/>
            <w:vAlign w:val="center"/>
          </w:tcPr>
          <w:p>
            <w:r>
              <w:t>5</w:t>
            </w:r>
          </w:p>
        </w:tc>
      </w:tr>
      <w:tr>
        <w:tc>
          <w:tcPr>
            <w:tcW w:type="dxa" w:w="3000"/>
            <w:vAlign w:val="center"/>
          </w:tcPr>
          <w:p>
            <w:r>
              <w:t>A2</w:t>
            </w:r>
          </w:p>
        </w:tc>
        <w:tc>
          <w:tcPr>
            <w:tcW w:type="dxa" w:w="6360"/>
            <w:vAlign w:val="center"/>
          </w:tcPr>
          <w:p>
            <w:r>
              <w:t>8</w:t>
            </w:r>
          </w:p>
        </w:tc>
      </w:tr>
      <w:tr>
        <w:tc>
          <w:tcPr>
            <w:tcW w:type="dxa" w:w="3000"/>
            <w:vAlign w:val="center"/>
          </w:tcPr>
          <w:p>
            <w:r>
              <w:t>B1</w:t>
            </w:r>
          </w:p>
        </w:tc>
        <w:tc>
          <w:tcPr>
            <w:tcW w:type="dxa" w:w="6360"/>
            <w:vAlign w:val="center"/>
          </w:tcPr>
          <w:p>
            <w:r>
              <w:t>11</w:t>
            </w:r>
          </w:p>
        </w:tc>
      </w:tr>
      <w:tr>
        <w:tc>
          <w:tcPr>
            <w:tcW w:type="dxa" w:w="3000"/>
            <w:vAlign w:val="center"/>
          </w:tcPr>
          <w:p>
            <w:r>
              <w:t>B2</w:t>
            </w:r>
          </w:p>
        </w:tc>
        <w:tc>
          <w:tcPr>
            <w:tcW w:type="dxa" w:w="6360"/>
            <w:vAlign w:val="center"/>
          </w:tcPr>
          <w:p>
            <w:r>
              <w:t>14</w:t>
            </w:r>
          </w:p>
        </w:tc>
      </w:tr>
      <w:tr>
        <w:tc>
          <w:tcPr>
            <w:tcW w:type="dxa" w:w="3000"/>
            <w:vAlign w:val="center"/>
          </w:tcPr>
          <w:p>
            <w:r>
              <w:t>C1</w:t>
            </w:r>
          </w:p>
        </w:tc>
        <w:tc>
          <w:tcPr>
            <w:tcW w:type="dxa" w:w="6360"/>
            <w:vAlign w:val="center"/>
          </w:tcPr>
          <w:p>
            <w:r>
              <w:t>17</w:t>
            </w:r>
          </w:p>
        </w:tc>
      </w:tr>
      <w:tr>
        <w:tc>
          <w:tcPr>
            <w:tcW w:type="dxa" w:w="3000"/>
            <w:vAlign w:val="center"/>
          </w:tcPr>
          <w:p>
            <w:r>
              <w:t>C2</w:t>
            </w:r>
          </w:p>
        </w:tc>
        <w:tc>
          <w:tcPr>
            <w:tcW w:type="dxa" w:w="6360"/>
            <w:vAlign w:val="center"/>
          </w:tcPr>
          <w:p>
            <w:r>
              <w:t>20</w:t>
            </w:r>
          </w:p>
        </w:tc>
      </w:tr>
    </w:tbl>
    <w:p>
      <w:pPr>
        <w:pStyle w:val="ListBullet"/>
        <w:spacing w:after="160" w:line="280" w:lineRule="auto"/>
        <w:ind w:left="720" w:hanging="360"/>
      </w:pPr>
      <w:r>
        <w:t>Single-level mode or a contiguous gradual range A1 through C2.</w:t>
      </w:r>
    </w:p>
    <w:p>
      <w:pPr>
        <w:pStyle w:val="ListBullet"/>
        <w:spacing w:after="160" w:line="280" w:lineRule="auto"/>
        <w:ind w:left="720" w:hanging="360"/>
      </w:pPr>
      <w:r>
        <w:t>Gradual percentages total exactly 100%; deterministic largest-remainder rounding is used.</w:t>
      </w:r>
    </w:p>
    <w:p>
      <w:pPr>
        <w:pStyle w:val="ListBullet"/>
        <w:spacing w:after="160" w:line="280" w:lineRule="auto"/>
        <w:ind w:left="720" w:hanging="360"/>
      </w:pPr>
      <w:r>
        <w:t>Rows remain in ascending CEFR order; vocabulary, grammar, and length are controlled together.</w:t>
      </w:r>
    </w:p>
    <w:p>
      <w:pPr>
        <w:pStyle w:val="ListBullet"/>
        <w:spacing w:after="160" w:line="280" w:lineRule="auto"/>
        <w:ind w:left="720" w:hanging="360"/>
      </w:pPr>
      <w:r>
        <w:t>Question percentage allocates questions versus declarative statements; yes/no and open questions are allowed.</w:t>
      </w:r>
    </w:p>
    <w:p>
      <w:pPr>
        <w:pStyle w:val="ListBullet"/>
        <w:spacing w:after="160" w:line="280" w:lineRule="auto"/>
        <w:ind w:left="720" w:hanging="360"/>
      </w:pPr>
      <w:r>
        <w:t>Subject scale 0 keeps every row neutral or impersonal; values 1–4 assign exactly 20%, 40%, 60%, or 80% of final rows to personal subjects; value 5 changes the subject pattern on every consecutive row without an immediate repeat.</w:t>
      </w:r>
    </w:p>
    <w:p>
      <w:pPr>
        <w:pStyle w:val="ListBullet"/>
        <w:spacing w:after="160" w:line="280" w:lineRule="auto"/>
        <w:ind w:left="720" w:hanging="360"/>
      </w:pPr>
      <w:r>
        <w:t>Every example must be complete, meaningful, formal, and contain the assigned word/form.</w:t>
      </w:r>
    </w:p>
    <w:p>
      <w:pPr>
        <w:pStyle w:val="Heading1"/>
      </w:pPr>
      <w:r>
        <w:t>5. Providers, credentials, and cost</w:t>
      </w:r>
    </w:p>
    <w:p>
      <w:pPr>
        <w:spacing w:after="120" w:line="264" w:lineRule="auto"/>
      </w:pPr>
      <w:r>
        <w:t>Supported providers are OpenAI, Anthropic, Google Gemini, DeepSeek, Ollama, and custom OpenAI-compatible endpoints. The user pastes their key, tests the connection, and chooses a discovered model. If no cloud key is available, Show more explains how to install Ollama and pull a suitable model.</w:t>
      </w:r>
    </w:p>
    <w:p>
      <w:pPr>
        <w:pStyle w:val="ListBullet"/>
        <w:spacing w:after="160" w:line="280" w:lineRule="auto"/>
        <w:ind w:left="720" w:hanging="360"/>
      </w:pPr>
      <w:r>
        <w:t>Keys are session-only unless the user opts into Windows Credential Manager.</w:t>
      </w:r>
    </w:p>
    <w:p>
      <w:pPr>
        <w:pStyle w:val="ListBullet"/>
        <w:spacing w:after="160" w:line="280" w:lineRule="auto"/>
        <w:ind w:left="720" w:hanging="360"/>
      </w:pPr>
      <w:r>
        <w:t>Keys never enter SQLite, logs, workbooks, checkpoints, or exported settings.</w:t>
      </w:r>
    </w:p>
    <w:p>
      <w:pPr>
        <w:pStyle w:val="ListBullet"/>
        <w:spacing w:after="160" w:line="280" w:lineRule="auto"/>
        <w:ind w:left="720" w:hanging="360"/>
      </w:pPr>
      <w:r>
        <w:t>The cost panel compares 1,000, 2,000, 3,000, 4,000, and 5,000 rows plus the current configuration.</w:t>
      </w:r>
    </w:p>
    <w:p>
      <w:pPr>
        <w:pStyle w:val="ListBullet"/>
        <w:spacing w:after="160" w:line="280" w:lineRule="auto"/>
        <w:ind w:left="720" w:hanging="360"/>
      </w:pPr>
      <w:r>
        <w:t>Unknown pricing is labelled Unknown; provider pricing and billing are authoritative.</w:t>
      </w:r>
    </w:p>
    <w:p>
      <w:pPr>
        <w:pStyle w:val="Heading1"/>
      </w:pPr>
      <w:r>
        <w:t>6. Output specification</w:t>
      </w:r>
    </w:p>
    <w:p>
      <w:pPr>
        <w:spacing w:after="120" w:line="264" w:lineRule="auto"/>
      </w:pPr>
      <w:r>
        <w:t>The canonical format is `.xlsx`; CSV export is optional. The Sentences sheet contains exactly four public columns in this order:</w:t>
      </w:r>
    </w:p>
    <w:p>
      <w:pPr>
        <w:pStyle w:val="ListNumber"/>
        <w:numPr>
          <w:ilvl w:val="0"/>
          <w:numId w:val="10"/>
        </w:numPr>
        <w:spacing w:after="160" w:line="280" w:lineRule="auto"/>
        <w:ind w:left="720" w:hanging="360"/>
      </w:pPr>
      <w:r>
        <w:t>Foreign-language word</w:t>
      </w:r>
    </w:p>
    <w:p>
      <w:pPr>
        <w:pStyle w:val="ListNumber"/>
        <w:numPr>
          <w:ilvl w:val="0"/>
          <w:numId w:val="10"/>
        </w:numPr>
        <w:spacing w:after="160" w:line="280" w:lineRule="auto"/>
        <w:ind w:left="720" w:hanging="360"/>
      </w:pPr>
      <w:r>
        <w:t>Word translation</w:t>
      </w:r>
    </w:p>
    <w:p>
      <w:pPr>
        <w:pStyle w:val="ListNumber"/>
        <w:numPr>
          <w:ilvl w:val="0"/>
          <w:numId w:val="10"/>
        </w:numPr>
        <w:spacing w:after="160" w:line="280" w:lineRule="auto"/>
        <w:ind w:left="720" w:hanging="360"/>
      </w:pPr>
      <w:r>
        <w:t>Foreign-language sentence</w:t>
      </w:r>
    </w:p>
    <w:p>
      <w:pPr>
        <w:pStyle w:val="ListNumber"/>
        <w:numPr>
          <w:ilvl w:val="0"/>
          <w:numId w:val="10"/>
        </w:numPr>
        <w:spacing w:after="160" w:line="280" w:lineRule="auto"/>
        <w:ind w:left="720" w:hanging="360"/>
      </w:pPr>
      <w:r>
        <w:t>Sentence translation</w:t>
      </w:r>
    </w:p>
    <w:p>
      <w:pPr>
        <w:spacing w:after="120" w:line="264" w:lineRule="auto"/>
      </w:pPr>
      <w:r>
        <w:t>Metadata records CEFR, frequency rank, grammatical person, word form/variant, question/statement, timestamp, provider, model, validation, seed, generation settings, token usage, and estimated/actual cost. Older four-column verb headers remain import-compatible. Workbooks use worksheet AutoFilter rather than an OOXML Table object to avoid Excel repair warnings.</w:t>
      </w:r>
    </w:p>
    <w:p>
      <w:pPr>
        <w:pStyle w:val="Heading1"/>
      </w:pPr>
      <w:r>
        <w:t>7. Flashcards</w:t>
      </w:r>
    </w:p>
    <w:p>
      <w:pPr>
        <w:pStyle w:val="Heading2"/>
      </w:pPr>
      <w:r>
        <w:t>7.1 Workbook input and ranking</w:t>
      </w:r>
    </w:p>
    <w:p>
      <w:pPr/>
      <w:r>
        <w:t>Flashcards load an app-generated or schema-compatible `.xlsx` workbook without changing the source file. The first data row below the header is logical rank 1. Every logical rank and all four public cells are indexed in the local SQLite backend; the workbook frequency rank remains separate audit metadata.</w:t>
      </w:r>
    </w:p>
    <w:p>
      <w:pPr>
        <w:pStyle w:val="Heading2"/>
      </w:pPr>
      <w:r>
        <w:t>7.2 Card modes and layout</w:t>
      </w:r>
    </w:p>
    <w:p>
      <w:pPr/>
      <w:r>
        <w:t>Words shows the foreign word on the front and word translation on the back. Sentences uses the equivalent sentence pair. Words and sentences creates one combined card per workbook row, with the larger bold word above the sentence on both sides. The quiet light/dark card expands to the available tab area beneath a compact control strip and shows only the study content, an accent divider, language-pair badge, progress, audio, and navigation—not side-name text bars. Clicking the card or Reveal changes sides. Flashcards and TTS each offer Load from History and Load from Desktop. Existing matching TTS cell clips are reused; missing visible-side clips are synthesized lazily, cached, and played word then sentence in combined mode without blocking the interface.</w:t>
      </w:r>
    </w:p>
    <w:p>
      <w:pPr>
        <w:pStyle w:val="Heading2"/>
      </w:pPr>
      <w:r>
        <w:t>7.3 Selection, randomization, and recovery</w:t>
      </w:r>
    </w:p>
    <w:p>
      <w:pPr/>
      <w:r>
        <w:t>Selected rows only enables blank inclusive From rank and To rank fields; otherwise all rows are eligible. A study cycle is a random permutation, so no eligible row repeats before the selection is exhausted. Previous and Next preserve that order. Shuffle again starts a new cycle and avoids an immediate boundary repeat when more than one row is eligible. Workbook checksum, indexed rows, mode, range, order, position, and visible side resume across application restarts.</w:t>
      </w:r>
    </w:p>
    <w:p>
      <w:pPr>
        <w:pStyle w:val="Heading2"/>
      </w:pPr>
      <w:r>
        <w:t>7.4 Mouse-wheel input safety</w:t>
      </w:r>
    </w:p>
    <w:p>
      <w:pPr/>
      <w:r>
        <w:t>Dropdowns, numeric fields, and sliders change under the mouse wheel only while that exact control has been clicked and still owns focus. Merely hovering—even over a previously used field—leaves wheel input available to the page scroll area. Focus loss disarms the field; open dropdowns and keyboard navigation remain available.</w:t>
      </w:r>
    </w:p>
    <w:p>
      <w:pPr>
        <w:pStyle w:val="Heading1"/>
      </w:pPr>
      <w:r>
        <w:t>8. Text-to-Speech</w:t>
      </w:r>
    </w:p>
    <w:p>
      <w:pPr>
        <w:pStyle w:val="ListBullet"/>
        <w:spacing w:after="160" w:line="280" w:lineRule="auto"/>
        <w:ind w:left="720" w:hanging="360"/>
      </w:pPr>
      <w:r>
        <w:t>Provide separate Load from History and Load from Desktop actions; validate both through the same `.xlsx` contract and clearly label Language 1 as foreign and Language 2 as translation.</w:t>
      </w:r>
    </w:p>
    <w:p>
      <w:pPr>
        <w:pStyle w:val="ListBullet"/>
        <w:spacing w:after="160" w:line="280" w:lineRule="auto"/>
        <w:ind w:left="720" w:hanging="360"/>
      </w:pPr>
      <w:r>
        <w:t>Speak all four columns in order; foreign voice for columns 1 and 3, translation voice for 2 and 4.</w:t>
      </w:r>
    </w:p>
    <w:p>
      <w:pPr>
        <w:pStyle w:val="ListBullet"/>
        <w:spacing w:after="160" w:line="280" w:lineRule="auto"/>
        <w:ind w:left="720" w:hanging="360"/>
      </w:pPr>
      <w:r>
        <w:t>Use Microsoft Edge neural voices, including Italian and Thai voice discovery; both Thai display options map to the th-TH speech locale.</w:t>
      </w:r>
    </w:p>
    <w:p>
      <w:pPr>
        <w:pStyle w:val="ListBullet"/>
        <w:spacing w:after="160" w:line="280" w:lineRule="auto"/>
        <w:ind w:left="720" w:hanging="360"/>
      </w:pPr>
      <w:r>
        <w:t>Provide voice, speed, pitch, volume, and four independent 1–10 second pause controls.</w:t>
      </w:r>
    </w:p>
    <w:p>
      <w:pPr>
        <w:pStyle w:val="ListBullet"/>
        <w:spacing w:after="160" w:line="280" w:lineRule="auto"/>
        <w:ind w:left="720" w:hanging="360"/>
      </w:pPr>
      <w:r>
        <w:t>Preview exactly two rows; generate one combined MP3; never repeat rows.</w:t>
      </w:r>
    </w:p>
    <w:p>
      <w:pPr>
        <w:pStyle w:val="ListBullet"/>
        <w:spacing w:after="160" w:line="280" w:lineRule="auto"/>
        <w:ind w:left="720" w:hanging="360"/>
      </w:pPr>
      <w:r>
        <w:t>Pause, resume, cancel, preserve partial MP3, record the last completed row, and checksum-safe continuation.</w:t>
      </w:r>
    </w:p>
    <w:p>
      <w:pPr>
        <w:pStyle w:val="Heading1"/>
      </w:pPr>
      <w:r>
        <w:t>9. History and local storage</w:t>
      </w:r>
    </w:p>
    <w:p>
      <w:pPr>
        <w:spacing w:after="120" w:line="264" w:lineRule="auto"/>
      </w:pPr>
      <w:r>
        <w:t>SQLite stores metadata while files live in the current Windows user's application-data directory, not the installed executable folder. History retains the latest 20 spreadsheets and 20 audio files independently.</w:t>
      </w:r>
    </w:p>
    <w:p>
      <w:pPr>
        <w:pStyle w:val="ListBullet"/>
        <w:spacing w:after="160" w:line="280" w:lineRule="auto"/>
        <w:ind w:left="720" w:hanging="360"/>
      </w:pPr>
      <w:r>
        <w:t>Rename changes only the app-owned file and catalogue entry.</w:t>
      </w:r>
    </w:p>
    <w:p>
      <w:pPr>
        <w:pStyle w:val="ListBullet"/>
        <w:spacing w:after="160" w:line="280" w:lineRule="auto"/>
        <w:ind w:left="720" w:hanging="360"/>
      </w:pPr>
      <w:r>
        <w:t>Delete and automatic retention move app-owned files to the Windows Recycle Bin.</w:t>
      </w:r>
    </w:p>
    <w:p>
      <w:pPr>
        <w:pStyle w:val="ListBullet"/>
        <w:spacing w:after="160" w:line="280" w:lineRule="auto"/>
        <w:ind w:left="720" w:hanging="360"/>
      </w:pPr>
      <w:r>
        <w:t>Export creates an external copy that the app never later renames or deletes.</w:t>
      </w:r>
    </w:p>
    <w:p>
      <w:pPr>
        <w:pStyle w:val="ListBullet"/>
        <w:spacing w:after="160" w:line="280" w:lineRule="auto"/>
        <w:ind w:left="720" w:hanging="360"/>
      </w:pPr>
      <w:r>
        <w:t>Regenerate preserves the original, restores its settings, uses a new seed, and creates a new output.</w:t>
      </w:r>
    </w:p>
    <w:p>
      <w:pPr>
        <w:pStyle w:val="Heading1"/>
      </w:pPr>
      <w:r>
        <w:t>10. Corpus sources and licensing</w:t>
      </w:r>
    </w:p>
    <w:p>
      <w:pPr>
        <w:spacing w:after="120" w:line="264" w:lineRule="auto"/>
      </w:pPr>
      <w:r>
        <w:t>The canonical production ranking uses wordfreq for the original six languages. Thai uses OpenSubtitles 2018 and the CC0 Phupha 2026 dataset; Kaikki/Wiktionary provides lexical validation and tone-marked Paiboon romanization. User-supplied lists remain comparison sources when their terms do not permit redistribution.</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F2F4F7"/>
            <w:vAlign w:val="center"/>
          </w:tcPr>
          <w:p>
            <w:r>
              <w:rPr>
                <w:b/>
                <w:color w:val="1F4D78"/>
              </w:rPr>
              <w:t>Source</w:t>
            </w:r>
          </w:p>
        </w:tc>
        <w:tc>
          <w:tcPr>
            <w:tcW w:type="dxa" w:w="6860"/>
            <w:shd w:fill="F2F4F7"/>
            <w:vAlign w:val="center"/>
          </w:tcPr>
          <w:p>
            <w:r>
              <w:rPr>
                <w:b/>
                <w:color w:val="1F4D78"/>
              </w:rPr>
              <w:t>Role / decision</w:t>
            </w:r>
          </w:p>
        </w:tc>
      </w:tr>
      <w:tr>
        <w:tc>
          <w:tcPr>
            <w:tcW w:type="dxa" w:w="2500"/>
            <w:vAlign w:val="center"/>
          </w:tcPr>
          <w:p>
            <w:r>
              <w:t>wordfreq</w:t>
            </w:r>
          </w:p>
        </w:tc>
        <w:tc>
          <w:tcPr>
            <w:tcW w:type="dxa" w:w="6860"/>
            <w:vAlign w:val="center"/>
          </w:tcPr>
          <w:p>
            <w:r>
              <w:t>Canonical ranked list; redistributable data under CC BY-SA 4.0 with upstream notices</w:t>
            </w:r>
          </w:p>
        </w:tc>
      </w:tr>
      <w:tr>
        <w:tc>
          <w:tcPr>
            <w:tcW w:type="dxa" w:w="2500"/>
            <w:vAlign w:val="center"/>
          </w:tcPr>
          <w:p>
            <w:r>
              <w:t>Kaikki/Wiktionary</w:t>
            </w:r>
          </w:p>
        </w:tc>
        <w:tc>
          <w:tcPr>
            <w:tcW w:type="dxa" w:w="6860"/>
            <w:vAlign w:val="center"/>
          </w:tcPr>
          <w:p>
            <w:r>
              <w:t>Lemma, POS, forms, translations; Wiktionary CC BY-SA 3.0/GFDL attribution retained</w:t>
            </w:r>
          </w:p>
        </w:tc>
      </w:tr>
      <w:tr>
        <w:tc>
          <w:tcPr>
            <w:tcW w:type="dxa" w:w="2500"/>
            <w:vAlign w:val="center"/>
          </w:tcPr>
          <w:p>
            <w:r>
              <w:t>frequencylist.com</w:t>
            </w:r>
          </w:p>
        </w:tc>
        <w:tc>
          <w:tcPr>
            <w:tcW w:type="dxa" w:w="6860"/>
            <w:vAlign w:val="center"/>
          </w:tcPr>
          <w:p>
            <w:r>
              <w:t>US English comparison; not canonical without explicit redistribution terms</w:t>
            </w:r>
          </w:p>
        </w:tc>
      </w:tr>
      <w:tr>
        <w:tc>
          <w:tcPr>
            <w:tcW w:type="dxa" w:w="2500"/>
            <w:vAlign w:val="center"/>
          </w:tcPr>
          <w:p>
            <w:r>
              <w:t>Spanish with Tati</w:t>
            </w:r>
          </w:p>
        </w:tc>
        <w:tc>
          <w:tcPr>
            <w:tcW w:type="dxa" w:w="6860"/>
            <w:vAlign w:val="center"/>
          </w:tcPr>
          <w:p>
            <w:r>
              <w:t>Verb-only comparison; not an all-word canonical source</w:t>
            </w:r>
          </w:p>
        </w:tc>
      </w:tr>
      <w:tr>
        <w:tc>
          <w:tcPr>
            <w:tcW w:type="dxa" w:w="2500"/>
            <w:vAlign w:val="center"/>
          </w:tcPr>
          <w:p>
            <w:r>
              <w:t>French/Portuguese Wiktionary lists</w:t>
            </w:r>
          </w:p>
        </w:tc>
        <w:tc>
          <w:tcPr>
            <w:tcW w:type="dxa" w:w="6860"/>
            <w:vAlign w:val="center"/>
          </w:tcPr>
          <w:p>
            <w:r>
              <w:t>OpenSubtitles-form comparison; automated cleaning warnings apply</w:t>
            </w:r>
          </w:p>
        </w:tc>
      </w:tr>
      <w:tr>
        <w:tc>
          <w:tcPr>
            <w:tcW w:type="dxa" w:w="2500"/>
            <w:vAlign w:val="center"/>
          </w:tcPr>
          <w:p>
            <w:r>
              <w:t>OCR vocabulary PDF</w:t>
            </w:r>
          </w:p>
        </w:tc>
        <w:tc>
          <w:tcPr>
            <w:tcW w:type="dxa" w:w="6860"/>
            <w:vAlign w:val="center"/>
          </w:tcPr>
          <w:p>
            <w:r>
              <w:t>Copyrighted topical vocabulary cross-check; not a frequency list</w:t>
            </w:r>
          </w:p>
        </w:tc>
      </w:tr>
      <w:tr>
        <w:tc>
          <w:tcPr>
            <w:tcW w:type="dxa" w:w="2500"/>
            <w:vAlign w:val="center"/>
          </w:tcPr>
          <w:p>
            <w:r>
              <w:t>top10000words.com</w:t>
            </w:r>
          </w:p>
        </w:tc>
        <w:tc>
          <w:tcPr>
            <w:tcW w:type="dxa" w:w="6860"/>
            <w:vAlign w:val="center"/>
          </w:tcPr>
          <w:p>
            <w:r>
              <w:t>Italian rank comparison; not redistributed without compatible terms</w:t>
            </w:r>
          </w:p>
        </w:tc>
      </w:tr>
      <w:tr>
        <w:tc>
          <w:tcPr>
            <w:tcW w:type="dxa" w:w="2500"/>
          </w:tcPr>
          <w:p>
            <w:r>
              <w:t>OpenSubtitles + Phupha</w:t>
            </w:r>
          </w:p>
        </w:tc>
        <w:tc>
          <w:tcPr>
            <w:tcW w:type="dxa" w:w="6860"/>
          </w:tcPr>
          <w:p>
            <w:r>
              <w:t>Canonical Thai rank evidence; CC BY-SA 4.0 and CC0 1.0 respectively</w:t>
            </w:r>
          </w:p>
        </w:tc>
      </w:tr>
    </w:tbl>
    <w:p>
      <w:pPr>
        <w:spacing w:after="120" w:line="264" w:lineRule="auto"/>
      </w:pPr>
      <w:r>
        <w:t>No human linguistic approval gate is required. The automated gate nevertheless treats corpus and machine-translation outputs as fallible evidence and blocks incomplete or structurally invalid releases.</w:t>
      </w:r>
    </w:p>
    <w:p>
      <w:pPr>
        <w:pStyle w:val="Heading1"/>
      </w:pPr>
      <w:r>
        <w:t>11. Automated corpus pipeline</w:t>
      </w:r>
    </w:p>
    <w:p>
      <w:pPr>
        <w:pStyle w:val="ListNumber"/>
        <w:numPr>
          <w:ilvl w:val="0"/>
          <w:numId w:val="11"/>
        </w:numPr>
        <w:spacing w:after="160" w:line="280" w:lineRule="auto"/>
        <w:ind w:left="720" w:hanging="360"/>
      </w:pPr>
      <w:r>
        <w:t>Pin source releases/dump dates and calculate input checksums.</w:t>
      </w:r>
    </w:p>
    <w:p>
      <w:pPr>
        <w:pStyle w:val="ListNumber"/>
        <w:numPr>
          <w:ilvl w:val="0"/>
          <w:numId w:val="11"/>
        </w:numPr>
        <w:spacing w:after="160" w:line="280" w:lineRule="auto"/>
        <w:ind w:left="720" w:hanging="360"/>
      </w:pPr>
      <w:r>
        <w:t>Generate the original six deterministic rankings with wordfreq; combine OpenSubtitles and Phupha deterministically for Thai.</w:t>
      </w:r>
    </w:p>
    <w:p>
      <w:pPr>
        <w:pStyle w:val="ListNumber"/>
        <w:numPr>
          <w:ilvl w:val="0"/>
          <w:numId w:val="11"/>
        </w:numPr>
        <w:spacing w:after="160" w:line="280" w:lineRule="auto"/>
        <w:ind w:left="720" w:hanging="360"/>
      </w:pPr>
      <w:r>
        <w:t>Join Kaikki entries; reject form-only, malformed, obsolete, slang, rare, or unsuitable records.</w:t>
      </w:r>
    </w:p>
    <w:p>
      <w:pPr>
        <w:pStyle w:val="ListNumber"/>
        <w:numPr>
          <w:ilvl w:val="0"/>
          <w:numId w:val="11"/>
        </w:numPr>
        <w:spacing w:after="160" w:line="280" w:lineRule="auto"/>
        <w:ind w:left="720" w:hanging="360"/>
      </w:pPr>
      <w:r>
        <w:t>Normalize Unicode and deduplicate by lemma so base words do not repeat.</w:t>
      </w:r>
    </w:p>
    <w:p>
      <w:pPr>
        <w:pStyle w:val="ListNumber"/>
        <w:numPr>
          <w:ilvl w:val="0"/>
          <w:numId w:val="11"/>
        </w:numPr>
        <w:spacing w:after="160" w:line="280" w:lineRule="auto"/>
        <w:ind w:left="720" w:hanging="360"/>
      </w:pPr>
      <w:r>
        <w:t>Collect dictionary forms/translations where available; use a documented unknown/base-form fallback otherwise.</w:t>
      </w:r>
    </w:p>
    <w:p>
      <w:pPr>
        <w:pStyle w:val="ListNumber"/>
        <w:numPr>
          <w:ilvl w:val="0"/>
          <w:numId w:val="11"/>
        </w:numPr>
        <w:spacing w:after="160" w:line="280" w:lineRule="auto"/>
        <w:ind w:left="720" w:hanging="360"/>
      </w:pPr>
      <w:r>
        <w:t>Validate the provider-supplied translation and form in every generated context, plus locale and attribution rules.</w:t>
      </w:r>
    </w:p>
    <w:p>
      <w:pPr>
        <w:pStyle w:val="ListNumber"/>
        <w:numPr>
          <w:ilvl w:val="0"/>
          <w:numId w:val="11"/>
        </w:numPr>
        <w:spacing w:after="160" w:line="280" w:lineRule="auto"/>
        <w:ind w:left="720" w:hanging="360"/>
      </w:pPr>
      <w:r>
        <w:t>Compare overlap/rank displacement against secondary sources and emit an audit report.</w:t>
      </w:r>
    </w:p>
    <w:p>
      <w:pPr>
        <w:pStyle w:val="ListNumber"/>
        <w:numPr>
          <w:ilvl w:val="0"/>
          <w:numId w:val="11"/>
        </w:numPr>
        <w:spacing w:after="160" w:line="280" w:lineRule="auto"/>
        <w:ind w:left="720" w:hanging="360"/>
      </w:pPr>
      <w:r>
        <w:t>Compile only `automated` rows and require 5,000 contiguous ranks for each of the eight language/script options.</w:t>
      </w:r>
    </w:p>
    <w:p>
      <w:pPr>
        <w:pStyle w:val="Heading1"/>
      </w:pPr>
      <w:r>
        <w:t>12. Architecture and technology</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F2F4F7"/>
            <w:vAlign w:val="center"/>
          </w:tcPr>
          <w:p>
            <w:r>
              <w:rPr>
                <w:b/>
                <w:color w:val="1F4D78"/>
              </w:rPr>
              <w:t>Area</w:t>
            </w:r>
          </w:p>
        </w:tc>
        <w:tc>
          <w:tcPr>
            <w:tcW w:type="dxa" w:w="6860"/>
            <w:shd w:fill="F2F4F7"/>
            <w:vAlign w:val="center"/>
          </w:tcPr>
          <w:p>
            <w:r>
              <w:rPr>
                <w:b/>
                <w:color w:val="1F4D78"/>
              </w:rPr>
              <w:t>Technology</w:t>
            </w:r>
          </w:p>
        </w:tc>
      </w:tr>
      <w:tr>
        <w:tc>
          <w:tcPr>
            <w:tcW w:type="dxa" w:w="2500"/>
            <w:vAlign w:val="center"/>
          </w:tcPr>
          <w:p>
            <w:r>
              <w:t>Desktop UI</w:t>
            </w:r>
          </w:p>
        </w:tc>
        <w:tc>
          <w:tcPr>
            <w:tcW w:type="dxa" w:w="6860"/>
            <w:vAlign w:val="center"/>
          </w:tcPr>
          <w:p>
            <w:r>
              <w:t>Python 3.12, PySide6/Qt 6</w:t>
            </w:r>
          </w:p>
        </w:tc>
      </w:tr>
      <w:tr>
        <w:tc>
          <w:tcPr>
            <w:tcW w:type="dxa" w:w="2500"/>
            <w:vAlign w:val="center"/>
          </w:tcPr>
          <w:p>
            <w:r>
              <w:t>Validation/domain</w:t>
            </w:r>
          </w:p>
        </w:tc>
        <w:tc>
          <w:tcPr>
            <w:tcW w:type="dxa" w:w="6860"/>
            <w:vAlign w:val="center"/>
          </w:tcPr>
          <w:p>
            <w:r>
              <w:t>Pydantic, deterministic pure-Python planners</w:t>
            </w:r>
          </w:p>
        </w:tc>
      </w:tr>
      <w:tr>
        <w:tc>
          <w:tcPr>
            <w:tcW w:type="dxa" w:w="2500"/>
            <w:vAlign w:val="center"/>
          </w:tcPr>
          <w:p>
            <w:r>
              <w:t>Persistence</w:t>
            </w:r>
          </w:p>
        </w:tc>
        <w:tc>
          <w:tcPr>
            <w:tcW w:type="dxa" w:w="6860"/>
            <w:vAlign w:val="center"/>
          </w:tcPr>
          <w:p>
            <w:r>
              <w:t>SQLite, SQLAlchemy, platformdirs</w:t>
            </w:r>
          </w:p>
        </w:tc>
      </w:tr>
      <w:tr>
        <w:tc>
          <w:tcPr>
            <w:tcW w:type="dxa" w:w="2500"/>
            <w:vAlign w:val="center"/>
          </w:tcPr>
          <w:p>
            <w:r>
              <w:t>Workbooks</w:t>
            </w:r>
          </w:p>
        </w:tc>
        <w:tc>
          <w:tcPr>
            <w:tcW w:type="dxa" w:w="6860"/>
            <w:vAlign w:val="center"/>
          </w:tcPr>
          <w:p>
            <w:r>
              <w:t>openpyxl, pandas where useful</w:t>
            </w:r>
          </w:p>
        </w:tc>
      </w:tr>
      <w:tr>
        <w:tc>
          <w:tcPr>
            <w:tcW w:type="dxa" w:w="2500"/>
            <w:vAlign w:val="center"/>
          </w:tcPr>
          <w:p>
            <w:r>
              <w:t>AI</w:t>
            </w:r>
          </w:p>
        </w:tc>
        <w:tc>
          <w:tcPr>
            <w:tcW w:type="dxa" w:w="6860"/>
            <w:vAlign w:val="center"/>
          </w:tcPr>
          <w:p>
            <w:r>
              <w:t>httpx provider adapters; user APIs or Ollama</w:t>
            </w:r>
          </w:p>
        </w:tc>
      </w:tr>
      <w:tr>
        <w:tc>
          <w:tcPr>
            <w:tcW w:type="dxa" w:w="2500"/>
            <w:vAlign w:val="center"/>
          </w:tcPr>
          <w:p>
            <w:r>
              <w:t>TTS/audio</w:t>
            </w:r>
          </w:p>
        </w:tc>
        <w:tc>
          <w:tcPr>
            <w:tcW w:type="dxa" w:w="6860"/>
            <w:vAlign w:val="center"/>
          </w:tcPr>
          <w:p>
            <w:r>
              <w:t>edge-tts, FFmpeg/ffprobe</w:t>
            </w:r>
          </w:p>
        </w:tc>
      </w:tr>
      <w:tr>
        <w:tc>
          <w:tcPr>
            <w:tcW w:type="dxa" w:w="2500"/>
            <w:vAlign w:val="center"/>
          </w:tcPr>
          <w:p>
            <w:r>
              <w:t>Security</w:t>
            </w:r>
          </w:p>
        </w:tc>
        <w:tc>
          <w:tcPr>
            <w:tcW w:type="dxa" w:w="6860"/>
            <w:vAlign w:val="center"/>
          </w:tcPr>
          <w:p>
            <w:r>
              <w:t>Windows Credential Manager via keyring; structured redacted logs</w:t>
            </w:r>
          </w:p>
        </w:tc>
      </w:tr>
      <w:tr>
        <w:tc>
          <w:tcPr>
            <w:tcW w:type="dxa" w:w="2500"/>
            <w:vAlign w:val="center"/>
          </w:tcPr>
          <w:p>
            <w:r>
              <w:t>Build</w:t>
            </w:r>
          </w:p>
        </w:tc>
        <w:tc>
          <w:tcPr>
            <w:tcW w:type="dxa" w:w="6860"/>
            <w:vAlign w:val="center"/>
          </w:tcPr>
          <w:p>
            <w:r>
              <w:t>uv lock, Nuitka, Inno Setup, GitHub Actions</w:t>
            </w:r>
          </w:p>
        </w:tc>
      </w:tr>
      <w:tr>
        <w:tc>
          <w:tcPr>
            <w:tcW w:type="dxa" w:w="2500"/>
            <w:vAlign w:val="center"/>
          </w:tcPr>
          <w:p>
            <w:r>
              <w:t>Quality</w:t>
            </w:r>
          </w:p>
        </w:tc>
        <w:tc>
          <w:tcPr>
            <w:tcW w:type="dxa" w:w="6860"/>
            <w:vAlign w:val="center"/>
          </w:tcPr>
          <w:p>
            <w:r>
              <w:t>pytest, pytest-qt, Ruff, mypy, pip-audit, licence inventory</w:t>
            </w:r>
          </w:p>
        </w:tc>
      </w:tr>
    </w:tbl>
    <w:p>
      <w:pPr>
        <w:pStyle w:val="Heading1"/>
      </w:pPr>
      <w:r>
        <w:t>13. User workflow</w:t>
      </w:r>
    </w:p>
    <w:p>
      <w:pPr>
        <w:pStyle w:val="ListNumber"/>
        <w:numPr>
          <w:ilvl w:val="0"/>
          <w:numId w:val="12"/>
        </w:numPr>
        <w:spacing w:after="160" w:line="280" w:lineRule="auto"/>
        <w:ind w:left="720" w:hanging="360"/>
      </w:pPr>
      <w:r>
        <w:t>Install and open the app; it starts centered at 50% of the available screen.</w:t>
      </w:r>
    </w:p>
    <w:p>
      <w:pPr>
        <w:pStyle w:val="ListNumber"/>
        <w:numPr>
          <w:ilvl w:val="0"/>
          <w:numId w:val="12"/>
        </w:numPr>
        <w:spacing w:after="160" w:line="280" w:lineRule="auto"/>
        <w:ind w:left="720" w:hanging="360"/>
      </w:pPr>
      <w:r>
        <w:t>Choose learning and translation languages, provider, API/model or Ollama.</w:t>
      </w:r>
    </w:p>
    <w:p>
      <w:pPr>
        <w:pStyle w:val="ListNumber"/>
        <w:numPr>
          <w:ilvl w:val="0"/>
          <w:numId w:val="12"/>
        </w:numPr>
        <w:spacing w:after="160" w:line="280" w:lineRule="auto"/>
        <w:ind w:left="720" w:hanging="360"/>
      </w:pPr>
      <w:r>
        <w:t>Choose base words, extra forms, CEFR mode/range/percentages, question ratio, and pronoun cadence.</w:t>
      </w:r>
    </w:p>
    <w:p>
      <w:pPr>
        <w:pStyle w:val="ListNumber"/>
        <w:numPr>
          <w:ilvl w:val="0"/>
          <w:numId w:val="12"/>
        </w:numPr>
        <w:spacing w:after="160" w:line="280" w:lineRule="auto"/>
        <w:ind w:left="720" w:hanging="360"/>
      </w:pPr>
      <w:r>
        <w:t>Review the calculated row total and estimate, choose an output path, and generate.</w:t>
      </w:r>
    </w:p>
    <w:p>
      <w:pPr>
        <w:pStyle w:val="ListNumber"/>
        <w:numPr>
          <w:ilvl w:val="0"/>
          <w:numId w:val="12"/>
        </w:numPr>
      </w:pPr>
      <w:r>
        <w:t>Open Flashcards, load a History/import workbook, choose Words, Sentences, or both, and optionally apply an inclusive rank range.</w:t>
      </w:r>
    </w:p>
    <w:p>
      <w:pPr>
        <w:pStyle w:val="ListNumber"/>
        <w:numPr>
          <w:ilvl w:val="0"/>
          <w:numId w:val="12"/>
        </w:numPr>
      </w:pPr>
      <w:r>
        <w:t>Flip and navigate the stored random order; use Shuffle again only after finishing or when a fresh cycle is wanted.</w:t>
      </w:r>
    </w:p>
    <w:p>
      <w:pPr>
        <w:pStyle w:val="ListNumber"/>
        <w:numPr>
          <w:ilvl w:val="0"/>
          <w:numId w:val="12"/>
        </w:numPr>
        <w:spacing w:after="160" w:line="280" w:lineRule="auto"/>
        <w:ind w:left="720" w:hanging="360"/>
      </w:pPr>
      <w:r>
        <w:t>Open TTS, choose a History/import workbook, two languages and voices, audio controls and pauses.</w:t>
      </w:r>
    </w:p>
    <w:p>
      <w:pPr>
        <w:pStyle w:val="ListNumber"/>
        <w:numPr>
          <w:ilvl w:val="0"/>
          <w:numId w:val="12"/>
        </w:numPr>
        <w:spacing w:after="160" w:line="280" w:lineRule="auto"/>
        <w:ind w:left="720" w:hanging="360"/>
      </w:pPr>
      <w:r>
        <w:t>Preview two rows, then generate/resume the combined MP3.</w:t>
      </w:r>
    </w:p>
    <w:p>
      <w:pPr>
        <w:pStyle w:val="ListNumber"/>
        <w:numPr>
          <w:ilvl w:val="0"/>
          <w:numId w:val="12"/>
        </w:numPr>
        <w:spacing w:after="160" w:line="280" w:lineRule="auto"/>
        <w:ind w:left="720" w:hanging="360"/>
      </w:pPr>
      <w:r>
        <w:t>Use History to rename, recycle, export, or regenerate app-owned outputs.</w:t>
      </w:r>
    </w:p>
    <w:p>
      <w:pPr>
        <w:pStyle w:val="Heading1"/>
      </w:pPr>
      <w:r>
        <w:t>14. Development phases and gates</w:t>
      </w:r>
    </w:p>
    <w:tbl>
      <w:tblPr>
        <w:tblStyle w:val="TableGrid"/>
        <w:tblW w:type="dxa" w:w="9360"/>
        <w:jc w:val="center"/>
        <w:tblLayout w:type="fixed"/>
        <w:tblLook w:firstColumn="1" w:firstRow="1" w:lastColumn="0" w:lastRow="0" w:noHBand="0" w:noVBand="1" w:val="04A0"/>
        <w:tblInd w:w="120" w:type="dxa"/>
      </w:tblPr>
      <w:tblGrid>
        <w:gridCol w:w="1500"/>
        <w:gridCol w:w="3900"/>
        <w:gridCol w:w="3960"/>
      </w:tblGrid>
      <w:tr>
        <w:tc>
          <w:tcPr>
            <w:tcW w:type="dxa" w:w="1500"/>
            <w:shd w:fill="F2F4F7"/>
            <w:vAlign w:val="center"/>
          </w:tcPr>
          <w:p>
            <w:r>
              <w:rPr>
                <w:b/>
                <w:color w:val="1F4D78"/>
              </w:rPr>
              <w:t>Phase</w:t>
            </w:r>
          </w:p>
        </w:tc>
        <w:tc>
          <w:tcPr>
            <w:tcW w:type="dxa" w:w="3900"/>
            <w:shd w:fill="F2F4F7"/>
            <w:vAlign w:val="center"/>
          </w:tcPr>
          <w:p>
            <w:r>
              <w:rPr>
                <w:b/>
                <w:color w:val="1F4D78"/>
              </w:rPr>
              <w:t>Deliverable</w:t>
            </w:r>
          </w:p>
        </w:tc>
        <w:tc>
          <w:tcPr>
            <w:tcW w:type="dxa" w:w="3960"/>
            <w:shd w:fill="F2F4F7"/>
            <w:vAlign w:val="center"/>
          </w:tcPr>
          <w:p>
            <w:r>
              <w:rPr>
                <w:b/>
                <w:color w:val="1F4D78"/>
              </w:rPr>
              <w:t>Gate</w:t>
            </w:r>
          </w:p>
        </w:tc>
      </w:tr>
      <w:tr>
        <w:tc>
          <w:tcPr>
            <w:tcW w:type="dxa" w:w="1500"/>
            <w:vAlign w:val="center"/>
          </w:tcPr>
          <w:p>
            <w:r>
              <w:t>0 Foundation</w:t>
            </w:r>
          </w:p>
        </w:tc>
        <w:tc>
          <w:tcPr>
            <w:tcW w:type="dxa" w:w="3900"/>
            <w:vAlign w:val="center"/>
          </w:tcPr>
          <w:p>
            <w:r>
              <w:t>Project, UI shell, persistence, CI, installer scaffold</w:t>
            </w:r>
          </w:p>
        </w:tc>
        <w:tc>
          <w:tcPr>
            <w:tcW w:type="dxa" w:w="3960"/>
            <w:vAlign w:val="center"/>
          </w:tcPr>
          <w:p>
            <w:r>
              <w:t>Clean setup; lint/type/unit/security checks pass</w:t>
            </w:r>
          </w:p>
        </w:tc>
      </w:tr>
      <w:tr>
        <w:tc>
          <w:tcPr>
            <w:tcW w:type="dxa" w:w="1500"/>
            <w:vAlign w:val="center"/>
          </w:tcPr>
          <w:p>
            <w:r>
              <w:t>1 Corpus</w:t>
            </w:r>
          </w:p>
        </w:tc>
        <w:tc>
          <w:tcPr>
            <w:tcW w:type="dxa" w:w="3900"/>
            <w:vAlign w:val="center"/>
          </w:tcPr>
          <w:p>
            <w:r>
              <w:t>Seven-language, eight-option all-word schema and pipeline</w:t>
            </w:r>
          </w:p>
        </w:tc>
        <w:tc>
          <w:tcPr>
            <w:tcW w:type="dxa" w:w="3960"/>
            <w:vAlign w:val="center"/>
          </w:tcPr>
          <w:p>
            <w:r>
              <w:t>40,000 validated production records; reproducible audit</w:t>
            </w:r>
          </w:p>
        </w:tc>
      </w:tr>
      <w:tr>
        <w:tc>
          <w:tcPr>
            <w:tcW w:type="dxa" w:w="1500"/>
            <w:vAlign w:val="center"/>
          </w:tcPr>
          <w:p>
            <w:r>
              <w:t>2 Planning</w:t>
            </w:r>
          </w:p>
        </w:tc>
        <w:tc>
          <w:tcPr>
            <w:tcW w:type="dxa" w:w="3900"/>
            <w:vAlign w:val="center"/>
          </w:tcPr>
          <w:p>
            <w:r>
              <w:t>Row cap, CEFR, type, pronoun, form expansion</w:t>
            </w:r>
          </w:p>
        </w:tc>
        <w:tc>
          <w:tcPr>
            <w:tcW w:type="dxa" w:w="3960"/>
            <w:vAlign w:val="center"/>
          </w:tcPr>
          <w:p>
            <w:r>
              <w:t>Deterministic plans; all totals reconcile</w:t>
            </w:r>
          </w:p>
        </w:tc>
      </w:tr>
      <w:tr>
        <w:tc>
          <w:tcPr>
            <w:tcW w:type="dxa" w:w="1500"/>
            <w:vAlign w:val="center"/>
          </w:tcPr>
          <w:p>
            <w:r>
              <w:t>3 Generation</w:t>
            </w:r>
          </w:p>
        </w:tc>
        <w:tc>
          <w:tcPr>
            <w:tcW w:type="dxa" w:w="3900"/>
            <w:vAlign w:val="center"/>
          </w:tcPr>
          <w:p>
            <w:r>
              <w:t>Providers, prompts, validation, resume, workbook</w:t>
            </w:r>
          </w:p>
        </w:tc>
        <w:tc>
          <w:tcPr>
            <w:tcW w:type="dxa" w:w="3960"/>
            <w:vAlign w:val="center"/>
          </w:tcPr>
          <w:p>
            <w:r>
              <w:t>Contracts and generation/workbook tests pass</w:t>
            </w:r>
          </w:p>
        </w:tc>
      </w:tr>
      <w:tr>
        <w:tc>
          <w:tcPr>
            <w:tcW w:type="dxa" w:w="1500"/>
            <w:vAlign w:val="center"/>
          </w:tcPr>
          <w:p>
            <w:r>
              <w:t>4 TTS</w:t>
            </w:r>
          </w:p>
        </w:tc>
        <w:tc>
          <w:tcPr>
            <w:tcW w:type="dxa" w:w="3900"/>
            <w:vAlign w:val="center"/>
          </w:tcPr>
          <w:p>
            <w:r>
              <w:t>Voices, preview, MP3, recovery</w:t>
            </w:r>
          </w:p>
        </w:tc>
        <w:tc>
          <w:tcPr>
            <w:tcW w:type="dxa" w:w="3960"/>
            <w:vAlign w:val="center"/>
          </w:tcPr>
          <w:p>
            <w:r>
              <w:t>Order, pause, codec, interruption tests pass</w:t>
            </w:r>
          </w:p>
        </w:tc>
      </w:tr>
      <w:tr>
        <w:tc>
          <w:tcPr>
            <w:tcW w:type="dxa" w:w="1500"/>
            <w:vAlign w:val="center"/>
          </w:tcPr>
          <w:p>
            <w:r>
              <w:t>5 History/UI</w:t>
            </w:r>
          </w:p>
        </w:tc>
        <w:tc>
          <w:tcPr>
            <w:tcW w:type="dxa" w:w="3900"/>
            <w:vAlign w:val="center"/>
          </w:tcPr>
          <w:p>
            <w:r>
              <w:t>Safe file actions, themes, accessibility, workers</w:t>
            </w:r>
          </w:p>
        </w:tc>
        <w:tc>
          <w:tcPr>
            <w:tcW w:type="dxa" w:w="3960"/>
            <w:vAlign w:val="center"/>
          </w:tcPr>
          <w:p>
            <w:r>
              <w:t>Path safety and UI state tests pass</w:t>
            </w:r>
          </w:p>
        </w:tc>
      </w:tr>
      <w:tr>
        <w:tc>
          <w:tcPr>
            <w:tcW w:type="dxa" w:w="1500"/>
          </w:tcPr>
          <w:p>
            <w:r>
              <w:t>5A Flashcards</w:t>
            </w:r>
          </w:p>
        </w:tc>
        <w:tc>
          <w:tcPr>
            <w:tcW w:type="dxa" w:w="3900"/>
          </w:tcPr>
          <w:p>
            <w:r>
              <w:t>Ranked decks, full-card layout, persistent audio, dual loaders, range filtering, strict wheel safety</w:t>
            </w:r>
          </w:p>
        </w:tc>
        <w:tc>
          <w:tcPr>
            <w:tcW w:type="dxa" w:w="3960"/>
          </w:tcPr>
          <w:p>
            <w:r>
              <w:t>No-repeat cycles; cache reuse; hover-wheel, resume, and Windows UI tests pass</w:t>
            </w:r>
          </w:p>
        </w:tc>
      </w:tr>
      <w:tr>
        <w:tc>
          <w:tcPr>
            <w:tcW w:type="dxa" w:w="1500"/>
            <w:vAlign w:val="center"/>
          </w:tcPr>
          <w:p>
            <w:r>
              <w:t>6 Release</w:t>
            </w:r>
          </w:p>
        </w:tc>
        <w:tc>
          <w:tcPr>
            <w:tcW w:type="dxa" w:w="3900"/>
            <w:vAlign w:val="center"/>
          </w:tcPr>
          <w:p>
            <w:r>
              <w:t>Nuitka, FFmpeg, installer, README, notices</w:t>
            </w:r>
          </w:p>
        </w:tc>
        <w:tc>
          <w:tcPr>
            <w:tcW w:type="dxa" w:w="3960"/>
            <w:vAlign w:val="center"/>
          </w:tcPr>
          <w:p>
            <w:r>
              <w:t>Clean Windows 10/11 install and upgrade pass</w:t>
            </w:r>
          </w:p>
        </w:tc>
      </w:tr>
    </w:tbl>
    <w:p>
      <w:pPr>
        <w:pStyle w:val="Heading1"/>
      </w:pPr>
      <w:r>
        <w:t>15. Test strategy</w:t>
      </w:r>
    </w:p>
    <w:tbl>
      <w:tblPr>
        <w:tblStyle w:val="TableGrid"/>
        <w:tblW w:type="dxa" w:w="9360"/>
        <w:jc w:val="center"/>
        <w:tblLayout w:type="fixed"/>
        <w:tblLook w:firstColumn="1" w:firstRow="1" w:lastColumn="0" w:lastRow="0" w:noHBand="0" w:noVBand="1" w:val="04A0"/>
        <w:tblInd w:w="120" w:type="dxa"/>
      </w:tblPr>
      <w:tblGrid>
        <w:gridCol w:w="1500"/>
        <w:gridCol w:w="5700"/>
        <w:gridCol w:w="2160"/>
      </w:tblGrid>
      <w:tr>
        <w:tc>
          <w:tcPr>
            <w:tcW w:type="dxa" w:w="1500"/>
            <w:shd w:fill="F2F4F7"/>
            <w:vAlign w:val="center"/>
          </w:tcPr>
          <w:p>
            <w:r>
              <w:rPr>
                <w:b/>
                <w:color w:val="1F4D78"/>
              </w:rPr>
              <w:t>Layer</w:t>
            </w:r>
          </w:p>
        </w:tc>
        <w:tc>
          <w:tcPr>
            <w:tcW w:type="dxa" w:w="5700"/>
            <w:shd w:fill="F2F4F7"/>
            <w:vAlign w:val="center"/>
          </w:tcPr>
          <w:p>
            <w:r>
              <w:rPr>
                <w:b/>
                <w:color w:val="1F4D78"/>
              </w:rPr>
              <w:t>Measures</w:t>
            </w:r>
          </w:p>
        </w:tc>
        <w:tc>
          <w:tcPr>
            <w:tcW w:type="dxa" w:w="2160"/>
            <w:shd w:fill="F2F4F7"/>
            <w:vAlign w:val="center"/>
          </w:tcPr>
          <w:p>
            <w:r>
              <w:rPr>
                <w:b/>
                <w:color w:val="1F4D78"/>
              </w:rPr>
              <w:t>Cadence</w:t>
            </w:r>
          </w:p>
        </w:tc>
      </w:tr>
      <w:tr>
        <w:tc>
          <w:tcPr>
            <w:tcW w:type="dxa" w:w="1500"/>
            <w:vAlign w:val="center"/>
          </w:tcPr>
          <w:p>
            <w:r>
              <w:t>Unit</w:t>
            </w:r>
          </w:p>
        </w:tc>
        <w:tc>
          <w:tcPr>
            <w:tcW w:type="dxa" w:w="5700"/>
            <w:vAlign w:val="center"/>
          </w:tcPr>
          <w:p>
            <w:r>
              <w:t>Row-limit matrix; allocation; normalization; POS/forms; flashcard permutations; validators</w:t>
            </w:r>
          </w:p>
        </w:tc>
        <w:tc>
          <w:tcPr>
            <w:tcW w:type="dxa" w:w="2160"/>
            <w:vAlign w:val="center"/>
          </w:tcPr>
          <w:p>
            <w:r>
              <w:t>Every commit</w:t>
            </w:r>
          </w:p>
        </w:tc>
      </w:tr>
      <w:tr>
        <w:tc>
          <w:tcPr>
            <w:tcW w:type="dxa" w:w="1500"/>
            <w:vAlign w:val="center"/>
          </w:tcPr>
          <w:p>
            <w:r>
              <w:t>Corpus</w:t>
            </w:r>
          </w:p>
        </w:tc>
        <w:tc>
          <w:tcPr>
            <w:tcW w:type="dxa" w:w="5700"/>
            <w:vAlign w:val="center"/>
          </w:tcPr>
          <w:p>
            <w:r>
              <w:t>Counts, ranks, keys, translations, forms, licences, hashes, comparisons</w:t>
            </w:r>
          </w:p>
        </w:tc>
        <w:tc>
          <w:tcPr>
            <w:tcW w:type="dxa" w:w="2160"/>
            <w:vAlign w:val="center"/>
          </w:tcPr>
          <w:p>
            <w:r>
              <w:t>Corpus change/release</w:t>
            </w:r>
          </w:p>
        </w:tc>
      </w:tr>
      <w:tr>
        <w:tc>
          <w:tcPr>
            <w:tcW w:type="dxa" w:w="1500"/>
            <w:vAlign w:val="center"/>
          </w:tcPr>
          <w:p>
            <w:r>
              <w:t>Contract</w:t>
            </w:r>
          </w:p>
        </w:tc>
        <w:tc>
          <w:tcPr>
            <w:tcW w:type="dxa" w:w="5700"/>
            <w:vAlign w:val="center"/>
          </w:tcPr>
          <w:p>
            <w:r>
              <w:t>All AI adapters; errors; usage; cancellation; secret redaction</w:t>
            </w:r>
          </w:p>
        </w:tc>
        <w:tc>
          <w:tcPr>
            <w:tcW w:type="dxa" w:w="2160"/>
            <w:vAlign w:val="center"/>
          </w:tcPr>
          <w:p>
            <w:r>
              <w:t>Every pull request</w:t>
            </w:r>
          </w:p>
        </w:tc>
      </w:tr>
      <w:tr>
        <w:tc>
          <w:tcPr>
            <w:tcW w:type="dxa" w:w="1500"/>
            <w:vAlign w:val="center"/>
          </w:tcPr>
          <w:p>
            <w:r>
              <w:t>Integration</w:t>
            </w:r>
          </w:p>
        </w:tc>
        <w:tc>
          <w:tcPr>
            <w:tcW w:type="dxa" w:w="5700"/>
            <w:vAlign w:val="center"/>
          </w:tcPr>
          <w:p>
            <w:r>
              <w:t>Generation resume; XLSX/CSV; ranked flashcard import/resume; SQLite; mocked TTS/FFmpeg</w:t>
            </w:r>
          </w:p>
        </w:tc>
        <w:tc>
          <w:tcPr>
            <w:tcW w:type="dxa" w:w="2160"/>
            <w:vAlign w:val="center"/>
          </w:tcPr>
          <w:p>
            <w:r>
              <w:t>Every pull request</w:t>
            </w:r>
          </w:p>
        </w:tc>
      </w:tr>
      <w:tr>
        <w:tc>
          <w:tcPr>
            <w:tcW w:type="dxa" w:w="1500"/>
            <w:vAlign w:val="center"/>
          </w:tcPr>
          <w:p>
            <w:r>
              <w:t>UI</w:t>
            </w:r>
          </w:p>
        </w:tc>
        <w:tc>
          <w:tcPr>
            <w:tcW w:type="dxa" w:w="5700"/>
            <w:vAlign w:val="center"/>
          </w:tcPr>
          <w:p>
            <w:r>
              <w:t>Dynamic maximum; full-card modes/layout/ranges/audio; dual loaders; strict wheel focus; languages; icon; tabs/themes</w:t>
            </w:r>
          </w:p>
        </w:tc>
        <w:tc>
          <w:tcPr>
            <w:tcW w:type="dxa" w:w="2160"/>
            <w:vAlign w:val="center"/>
          </w:tcPr>
          <w:p>
            <w:r>
              <w:t>Every pull request</w:t>
            </w:r>
          </w:p>
        </w:tc>
      </w:tr>
      <w:tr>
        <w:tc>
          <w:tcPr>
            <w:tcW w:type="dxa" w:w="1500"/>
            <w:vAlign w:val="center"/>
          </w:tcPr>
          <w:p>
            <w:r>
              <w:t>E2E</w:t>
            </w:r>
          </w:p>
        </w:tc>
        <w:tc>
          <w:tcPr>
            <w:tcW w:type="dxa" w:w="5700"/>
            <w:vAlign w:val="center"/>
          </w:tcPr>
          <w:p>
            <w:r>
              <w:t>Multi-POS generation and TTS interruption/resume</w:t>
            </w:r>
          </w:p>
        </w:tc>
        <w:tc>
          <w:tcPr>
            <w:tcW w:type="dxa" w:w="2160"/>
            <w:vAlign w:val="center"/>
          </w:tcPr>
          <w:p>
            <w:r>
              <w:t>Nightly/release</w:t>
            </w:r>
          </w:p>
        </w:tc>
      </w:tr>
      <w:tr>
        <w:tc>
          <w:tcPr>
            <w:tcW w:type="dxa" w:w="1500"/>
            <w:vAlign w:val="center"/>
          </w:tcPr>
          <w:p>
            <w:r>
              <w:t>Packaging</w:t>
            </w:r>
          </w:p>
        </w:tc>
        <w:tc>
          <w:tcPr>
            <w:tcW w:type="dxa" w:w="5700"/>
            <w:vAlign w:val="center"/>
          </w:tcPr>
          <w:p>
            <w:r>
              <w:t>Executable and installer icons; taskbar identity; upgrade; uninstall; notices</w:t>
            </w:r>
          </w:p>
        </w:tc>
        <w:tc>
          <w:tcPr>
            <w:tcW w:type="dxa" w:w="2160"/>
            <w:vAlign w:val="center"/>
          </w:tcPr>
          <w:p>
            <w:r>
              <w:t>Release candidate</w:t>
            </w:r>
          </w:p>
        </w:tc>
      </w:tr>
    </w:tbl>
    <w:p>
      <w:pPr>
        <w:pStyle w:val="Heading2"/>
      </w:pPr>
      <w:r>
        <w:t>15.1 Locked row-boundary tests</w:t>
      </w:r>
    </w:p>
    <w:p>
      <w:pPr>
        <w:pStyle w:val="ListBullet"/>
        <w:spacing w:after="160" w:line="280" w:lineRule="auto"/>
        <w:ind w:left="720" w:hanging="360"/>
      </w:pPr>
      <w:r>
        <w:t>5,000×1, 2,500×2, 1,666×3, 1,250×4, and 1,000×5 are accepted.</w:t>
      </w:r>
    </w:p>
    <w:p>
      <w:pPr>
        <w:pStyle w:val="ListBullet"/>
        <w:spacing w:after="160" w:line="280" w:lineRule="auto"/>
        <w:ind w:left="720" w:hanging="360"/>
      </w:pPr>
      <w:r>
        <w:t>The next base value in each mode is rejected when final rows would exceed 5,000.</w:t>
      </w:r>
    </w:p>
    <w:p>
      <w:pPr>
        <w:pStyle w:val="ListBullet"/>
        <w:spacing w:after="160" w:line="280" w:lineRule="auto"/>
        <w:ind w:left="720" w:hanging="360"/>
      </w:pPr>
      <w:r>
        <w:t>Changing extra forms immediately clamps the base maximum without changing the selected form value.</w:t>
      </w:r>
    </w:p>
    <w:p>
      <w:pPr>
        <w:pStyle w:val="ListBullet"/>
        <w:spacing w:after="160" w:line="280" w:lineRule="auto"/>
        <w:ind w:left="720" w:hanging="360"/>
      </w:pPr>
      <w:r>
        <w:t>Imports above 5,000 rows are rejected with a clear message.</w:t>
      </w:r>
    </w:p>
    <w:p>
      <w:pPr>
        <w:pStyle w:val="Heading2"/>
      </w:pPr>
      <w:r>
        <w:t>15.2 Locked linguistic/structural tests</w:t>
      </w:r>
    </w:p>
    <w:p>
      <w:pPr>
        <w:pStyle w:val="ListBullet"/>
        <w:spacing w:after="160" w:line="280" w:lineRule="auto"/>
        <w:ind w:left="720" w:hanging="360"/>
      </w:pPr>
      <w:r>
        <w:t>All eight language/script corpora contain 5,000 entries with contiguous ranks, unique words, POS/form fallback, source, licence, and automated status; Thai script and Paiboon records are structurally distinct.</w:t>
      </w:r>
    </w:p>
    <w:p>
      <w:pPr>
        <w:pStyle w:val="ListBullet"/>
        <w:spacing w:after="160" w:line="280" w:lineRule="auto"/>
        <w:ind w:left="720" w:hanging="360"/>
      </w:pPr>
      <w:r>
        <w:t>Fixtures cover verbs, nouns, adjectives, adverbs, pronouns/determiners, conjunctions/prepositions, and invariant words.</w:t>
      </w:r>
    </w:p>
    <w:p>
      <w:pPr>
        <w:pStyle w:val="ListBullet"/>
        <w:spacing w:after="160" w:line="280" w:lineRule="auto"/>
        <w:ind w:left="720" w:hanging="360"/>
      </w:pPr>
      <w:r>
        <w:t>Every accepted sentence contains its declared word form; form/variant metadata matches the plan.</w:t>
      </w:r>
    </w:p>
    <w:p>
      <w:pPr>
        <w:pStyle w:val="ListBullet"/>
        <w:spacing w:after="160" w:line="280" w:lineRule="auto"/>
        <w:ind w:left="720" w:hanging="360"/>
      </w:pPr>
      <w:r>
        <w:t>CEFR, question/statement, and pronoun allocations reconcile; UTF-8 workbook round-trips preserve text.</w:t>
      </w:r>
    </w:p>
    <w:p>
      <w:pPr>
        <w:pStyle w:val="ListBullet"/>
        <w:spacing w:after="160" w:line="280" w:lineRule="auto"/>
        <w:ind w:left="720" w:hanging="360"/>
      </w:pPr>
      <w:r>
        <w:t>New headers export exactly; old verb headers import; Excel opens without repair.</w:t>
      </w:r>
    </w:p>
    <w:p>
      <w:pPr>
        <w:pStyle w:val="Heading2"/>
      </w:pPr>
      <w:r>
        <w:t>15.3 Locked flashcard and wheel tests</w:t>
      </w:r>
    </w:p>
    <w:p>
      <w:pPr>
        <w:pStyle w:val="ListBullet"/>
      </w:pPr>
      <w:r>
        <w:t>Workbook row 2 is rank 1; logical ranks remain continuous through the final nonblank data row.</w:t>
      </w:r>
    </w:p>
    <w:p>
      <w:pPr>
        <w:pStyle w:val="ListBullet"/>
      </w:pPr>
      <w:r>
        <w:t>Words, Sentences, and combined modes show the correct front/back cells; combined word text is larger and bold on a near-full-tab card with no side-name text bars.</w:t>
      </w:r>
    </w:p>
    <w:p>
      <w:pPr>
        <w:pStyle w:val="ListBullet"/>
      </w:pPr>
      <w:r>
        <w:t>Inclusive full and partial ranges validate correctly; blank, reversed, zero, and over-limit ranges fail clearly.</w:t>
      </w:r>
    </w:p>
    <w:p>
      <w:pPr>
        <w:pStyle w:val="ListBullet"/>
      </w:pPr>
      <w:r>
        <w:t>Every eligible rank appears exactly once per cycle; navigation preserves order and restart restores all session state.</w:t>
      </w:r>
    </w:p>
    <w:p>
      <w:pPr>
        <w:pStyle w:val="ListBullet"/>
      </w:pPr>
      <w:r>
        <w:t>Unclicked, unfocused, and merely hovered dropdowns, numeric fields, and sliders remain unchanged while the containing page scrolls; only the explicitly clicked focused field accepts wheel changes.</w:t>
      </w:r>
    </w:p>
    <w:p>
      <w:pPr>
        <w:pStyle w:val="Heading1"/>
      </w:pPr>
      <w:r>
        <w:t>16. Release acceptance</w:t>
      </w:r>
    </w:p>
    <w:p>
      <w:pPr>
        <w:spacing w:after="80" w:line="280" w:lineRule="auto"/>
        <w:ind w:left="360" w:firstLine="0"/>
      </w:pPr>
      <w:r>
        <w:t>☒ Seven languages, eight script options, and 40,000 production records pass the automated corpus gate.</w:t>
      </w:r>
    </w:p>
    <w:p>
      <w:pPr>
        <w:spacing w:after="80" w:line="280" w:lineRule="auto"/>
        <w:ind w:left="360" w:firstLine="0"/>
      </w:pPr>
      <w:r>
        <w:t>☒ No configuration exceeds 5,000 rows; POS-aware and invariant form paths pass.</w:t>
      </w:r>
    </w:p>
    <w:p>
      <w:pPr>
        <w:spacing w:after="80" w:line="280" w:lineRule="auto"/>
        <w:ind w:left="360" w:firstLine="0"/>
      </w:pPr>
      <w:r>
        <w:t>☒ All provider, generation, workbook, TTS recovery, history safety, UI, security, and performance gates pass.</w:t>
      </w:r>
    </w:p>
    <w:p>
      <w:pPr>
        <w:spacing w:after="80" w:line="280" w:lineRule="auto"/>
        <w:ind w:left="360" w:firstLine="0"/>
      </w:pPr>
      <w:r>
        <w:t>☒ Clean Windows 10/11 machines install and run without separate Python, Qt, or FFmpeg downloads.</w:t>
      </w:r>
    </w:p>
    <w:p>
      <w:pPr>
        <w:spacing w:after="80" w:line="280" w:lineRule="auto"/>
        <w:ind w:left="360" w:firstLine="0"/>
      </w:pPr>
      <w:r>
        <w:t>☒ README, source notices, licence inventory, release notes, checksum, and provenance are included.</w:t>
      </w:r>
    </w:p>
    <w:p>
      <w:pPr>
        <w:spacing w:after="80" w:line="280" w:lineRule="auto"/>
        <w:ind w:left="360" w:firstLine="0"/>
      </w:pPr>
      <w:r>
        <w:t>☒ No critical/high defect or failing required check remains; release automation applies Authenticode signing whenever protected publisher certificate secrets are configured.</w:t>
      </w:r>
    </w:p>
    <w:p>
      <w:pPr>
        <w:spacing w:after="80"/>
        <w:ind w:left="360" w:firstLine="0"/>
      </w:pPr>
      <w:r>
        <w:t>☐ v1.2.0 flashcard migration, restart recovery, wheel interaction, and Windows installer gates pass before release approval.</w:t>
      </w:r>
    </w:p>
    <w:p>
      <w:pPr>
        <w:pStyle w:val="Heading1"/>
      </w:pPr>
      <w:r>
        <w:t>17. Current implementation status</w:t>
      </w:r>
    </w:p>
    <w:p>
      <w:pPr>
        <w:spacing w:after="120" w:line="264" w:lineRule="auto"/>
      </w:pPr>
      <w:r>
        <w:t>Version 1.2.0 RC extends the completed v1.1.0 Thai and Windows identity release with ranked workbook flashcards, persistent study sessions, inclusive row filtering, a full-card light/dark study layout, History/Desktop loading, reusable lazy card audio, and strict clicked-plus-focused mouse-wheel input. Development remains isolated from GitHub main and the published v1.1.0 installer. Quality, Tests, corpus validation, Windows UI, packaging, checksum, provenance, upgrade, uninstall, and user-data preservation gates are required before explicit approval, merge, or release publication.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 xml:space="preserve">Easy Language Learning Tool · Project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