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1F4D78"/>
          <w:sz w:val="48"/>
        </w:rPr>
        <w:t>Easy Language Learning Tool</w:t>
      </w:r>
    </w:p>
    <w:p>
      <w:pPr>
        <w:jc w:val="center"/>
      </w:pPr>
      <w:r>
        <w:rPr>
          <w:i/>
        </w:rPr>
        <w:t>Project Plan · Version 3.0 · Production Release</w:t>
      </w:r>
    </w:p>
    <w:p>
      <w:pPr>
        <w:jc w:val="center"/>
      </w:pPr>
      <w:r>
        <w:t>Windows 10/11 · PySide6 · 5,000 ranked words · Six languages</w:t>
      </w:r>
    </w:p>
    <w:p>
      <w:pPr>
        <w:pStyle w:val="Heading1"/>
      </w:pPr>
      <w:r>
        <w:t>1. Executive summary</w:t>
      </w:r>
    </w:p>
    <w:p>
      <w:pPr>
        <w:spacing w:after="120" w:line="264" w:lineRule="auto"/>
      </w:pPr>
      <w:r>
        <w:t>Easy Language Learning Tool is a Windows desktop application that creates structured language-learning sentence workbooks and converts them into natural-sounding, resumable MP3 lessons. The application selects study words deterministically from licensed frequency data; an AI provider writes and translates examples but never decides which words are most common.</w:t>
      </w:r>
    </w:p>
    <w:p>
      <w:pPr>
        <w:spacing w:after="120" w:line="264" w:lineRule="auto"/>
      </w:pPr>
      <w:r>
        <w:t>The approved revision expands the scope from verbs to the 5,000 most common words across all parts of speech. It supports US English, European Spanish, German, European Portuguese, French, and Italian. Extra forms adapt to each word type while every job remains capped at 5,000 final rows.</w:t>
      </w:r>
    </w:p>
    <w:p>
      <w:pPr>
        <w:pStyle w:val="Heading1"/>
      </w:pPr>
      <w:r>
        <w:t>2. Product goals and boundaries</w:t>
      </w:r>
    </w:p>
    <w:p>
      <w:pPr>
        <w:pStyle w:val="ListBullet"/>
        <w:spacing w:after="160" w:line="280" w:lineRule="auto"/>
        <w:ind w:left="720" w:hanging="360"/>
      </w:pPr>
      <w:r>
        <w:t>Provide a transparent, repeatable route from ranked vocabulary to CEFR-controlled examples.</w:t>
      </w:r>
    </w:p>
    <w:p>
      <w:pPr>
        <w:pStyle w:val="ListBullet"/>
        <w:spacing w:after="160" w:line="280" w:lineRule="auto"/>
        <w:ind w:left="720" w:hanging="360"/>
      </w:pPr>
      <w:r>
        <w:t>Create Excel files that are immediately usable for study, review, import, and TTS.</w:t>
      </w:r>
    </w:p>
    <w:p>
      <w:pPr>
        <w:pStyle w:val="ListBullet"/>
        <w:spacing w:after="160" w:line="280" w:lineRule="auto"/>
        <w:ind w:left="720" w:hanging="360"/>
      </w:pPr>
      <w:r>
        <w:t>Support cloud APIs supplied by the user and a local Ollama alternative.</w:t>
      </w:r>
    </w:p>
    <w:p>
      <w:pPr>
        <w:pStyle w:val="ListBullet"/>
        <w:spacing w:after="160" w:line="280" w:lineRule="auto"/>
        <w:ind w:left="720" w:hanging="360"/>
      </w:pPr>
      <w:r>
        <w:t>Keep user files, credentials, history, recovery metadata, and destructive actions safe and local.</w:t>
      </w:r>
    </w:p>
    <w:p>
      <w:pPr>
        <w:pStyle w:val="ListBullet"/>
        <w:spacing w:after="160" w:line="280" w:lineRule="auto"/>
        <w:ind w:left="720" w:hanging="360"/>
      </w:pPr>
      <w:r>
        <w:t>Ship as a normal free Windows installer with its required runtime and FFmpeg files.</w:t>
      </w:r>
    </w:p>
    <w:p>
      <w:pPr>
        <w:spacing w:after="120" w:line="264" w:lineRule="auto"/>
      </w:pPr>
      <w:r>
        <w:t>The application is not a dictionary authority, certification test, or guarantee of perfect machine translation. Automated validation reports uncertainty; the production corpus must pass its defined release gate.</w:t>
      </w:r>
    </w:p>
    <w:p>
      <w:pPr>
        <w:pStyle w:val="Heading1"/>
      </w:pPr>
      <w:r>
        <w:t>3. Supported languages and register</w:t>
      </w:r>
    </w:p>
    <w:tbl>
      <w:tblPr>
        <w:tblStyle w:val="TableGrid"/>
        <w:tblW w:type="dxa" w:w="9360"/>
        <w:jc w:val="center"/>
        <w:tblLayout w:type="fixed"/>
        <w:tblLook w:firstColumn="1" w:firstRow="1" w:lastColumn="0" w:lastRow="0" w:noHBand="0" w:noVBand="1" w:val="04A0"/>
        <w:tblInd w:w="120" w:type="dxa"/>
      </w:tblPr>
      <w:tblGrid>
        <w:gridCol w:w="1500"/>
        <w:gridCol w:w="2600"/>
        <w:gridCol w:w="5260"/>
      </w:tblGrid>
      <w:tr>
        <w:tc>
          <w:tcPr>
            <w:tcW w:type="dxa" w:w="1500"/>
            <w:shd w:fill="F2F4F7"/>
            <w:vAlign w:val="center"/>
          </w:tcPr>
          <w:p>
            <w:r>
              <w:rPr>
                <w:b/>
                <w:color w:val="1F4D78"/>
              </w:rPr>
              <w:t>Locale</w:t>
            </w:r>
          </w:p>
        </w:tc>
        <w:tc>
          <w:tcPr>
            <w:tcW w:type="dxa" w:w="2600"/>
            <w:shd w:fill="F2F4F7"/>
            <w:vAlign w:val="center"/>
          </w:tcPr>
          <w:p>
            <w:r>
              <w:rPr>
                <w:b/>
                <w:color w:val="1F4D78"/>
              </w:rPr>
              <w:t>Language</w:t>
            </w:r>
          </w:p>
        </w:tc>
        <w:tc>
          <w:tcPr>
            <w:tcW w:type="dxa" w:w="5260"/>
            <w:shd w:fill="F2F4F7"/>
            <w:vAlign w:val="center"/>
          </w:tcPr>
          <w:p>
            <w:r>
              <w:rPr>
                <w:b/>
                <w:color w:val="1F4D78"/>
              </w:rPr>
              <w:t>Required register</w:t>
            </w:r>
          </w:p>
        </w:tc>
      </w:tr>
      <w:tr>
        <w:tc>
          <w:tcPr>
            <w:tcW w:type="dxa" w:w="1500"/>
            <w:vAlign w:val="center"/>
          </w:tcPr>
          <w:p>
            <w:r>
              <w:t>en-US</w:t>
            </w:r>
          </w:p>
        </w:tc>
        <w:tc>
          <w:tcPr>
            <w:tcW w:type="dxa" w:w="2600"/>
            <w:vAlign w:val="center"/>
          </w:tcPr>
          <w:p>
            <w:r>
              <w:t>US English</w:t>
            </w:r>
          </w:p>
        </w:tc>
        <w:tc>
          <w:tcPr>
            <w:tcW w:type="dxa" w:w="5260"/>
            <w:vAlign w:val="center"/>
          </w:tcPr>
          <w:p>
            <w:r>
              <w:t>Formal standard US usage</w:t>
            </w:r>
          </w:p>
        </w:tc>
      </w:tr>
      <w:tr>
        <w:tc>
          <w:tcPr>
            <w:tcW w:type="dxa" w:w="1500"/>
            <w:vAlign w:val="center"/>
          </w:tcPr>
          <w:p>
            <w:r>
              <w:t>es-ES</w:t>
            </w:r>
          </w:p>
        </w:tc>
        <w:tc>
          <w:tcPr>
            <w:tcW w:type="dxa" w:w="2600"/>
            <w:vAlign w:val="center"/>
          </w:tcPr>
          <w:p>
            <w:r>
              <w:t>European Spanish</w:t>
            </w:r>
          </w:p>
        </w:tc>
        <w:tc>
          <w:tcPr>
            <w:tcW w:type="dxa" w:w="5260"/>
            <w:vAlign w:val="center"/>
          </w:tcPr>
          <w:p>
            <w:r>
              <w:t>Formal standard Spain usage</w:t>
            </w:r>
          </w:p>
        </w:tc>
      </w:tr>
      <w:tr>
        <w:tc>
          <w:tcPr>
            <w:tcW w:type="dxa" w:w="1500"/>
            <w:vAlign w:val="center"/>
          </w:tcPr>
          <w:p>
            <w:r>
              <w:t>de-DE</w:t>
            </w:r>
          </w:p>
        </w:tc>
        <w:tc>
          <w:tcPr>
            <w:tcW w:type="dxa" w:w="2600"/>
            <w:vAlign w:val="center"/>
          </w:tcPr>
          <w:p>
            <w:r>
              <w:t>German</w:t>
            </w:r>
          </w:p>
        </w:tc>
        <w:tc>
          <w:tcPr>
            <w:tcW w:type="dxa" w:w="5260"/>
            <w:vAlign w:val="center"/>
          </w:tcPr>
          <w:p>
            <w:r>
              <w:t>Formal standard German</w:t>
            </w:r>
          </w:p>
        </w:tc>
      </w:tr>
      <w:tr>
        <w:tc>
          <w:tcPr>
            <w:tcW w:type="dxa" w:w="1500"/>
            <w:vAlign w:val="center"/>
          </w:tcPr>
          <w:p>
            <w:r>
              <w:t>pt-PT</w:t>
            </w:r>
          </w:p>
        </w:tc>
        <w:tc>
          <w:tcPr>
            <w:tcW w:type="dxa" w:w="2600"/>
            <w:vAlign w:val="center"/>
          </w:tcPr>
          <w:p>
            <w:r>
              <w:t>European Portuguese</w:t>
            </w:r>
          </w:p>
        </w:tc>
        <w:tc>
          <w:tcPr>
            <w:tcW w:type="dxa" w:w="5260"/>
            <w:vAlign w:val="center"/>
          </w:tcPr>
          <w:p>
            <w:r>
              <w:t>Formal standard Portugal usage</w:t>
            </w:r>
          </w:p>
        </w:tc>
      </w:tr>
      <w:tr>
        <w:tc>
          <w:tcPr>
            <w:tcW w:type="dxa" w:w="1500"/>
            <w:vAlign w:val="center"/>
          </w:tcPr>
          <w:p>
            <w:r>
              <w:t>fr-FR</w:t>
            </w:r>
          </w:p>
        </w:tc>
        <w:tc>
          <w:tcPr>
            <w:tcW w:type="dxa" w:w="2600"/>
            <w:vAlign w:val="center"/>
          </w:tcPr>
          <w:p>
            <w:r>
              <w:t>French</w:t>
            </w:r>
          </w:p>
        </w:tc>
        <w:tc>
          <w:tcPr>
            <w:tcW w:type="dxa" w:w="5260"/>
            <w:vAlign w:val="center"/>
          </w:tcPr>
          <w:p>
            <w:r>
              <w:t>Formal standard French</w:t>
            </w:r>
          </w:p>
        </w:tc>
      </w:tr>
      <w:tr>
        <w:tc>
          <w:tcPr>
            <w:tcW w:type="dxa" w:w="1500"/>
            <w:vAlign w:val="center"/>
          </w:tcPr>
          <w:p>
            <w:r>
              <w:t>it-IT</w:t>
            </w:r>
          </w:p>
        </w:tc>
        <w:tc>
          <w:tcPr>
            <w:tcW w:type="dxa" w:w="2600"/>
            <w:vAlign w:val="center"/>
          </w:tcPr>
          <w:p>
            <w:r>
              <w:t>Italian</w:t>
            </w:r>
          </w:p>
        </w:tc>
        <w:tc>
          <w:tcPr>
            <w:tcW w:type="dxa" w:w="5260"/>
            <w:vAlign w:val="center"/>
          </w:tcPr>
          <w:p>
            <w:r>
              <w:t>Formal standard Italian</w:t>
            </w:r>
          </w:p>
        </w:tc>
      </w:tr>
    </w:tbl>
    <w:p>
      <w:pPr>
        <w:pStyle w:val="Heading1"/>
      </w:pPr>
      <w:r>
        <w:t>4. Sentence Creation</w:t>
      </w:r>
    </w:p>
    <w:p>
      <w:pPr>
        <w:pStyle w:val="Heading2"/>
      </w:pPr>
      <w:r>
        <w:t>4.1 Ranked-word selection</w:t>
      </w:r>
    </w:p>
    <w:p>
      <w:pPr>
        <w:spacing w:after="120" w:line="264" w:lineRule="auto"/>
      </w:pPr>
      <w:r>
        <w:t>Each language has 5,000 ranked study entries spanning verbs, nouns, adjectives, adverbs, pronouns, determiners, conjunctions, prepositions, and other useful categories. The application reads this internal list in rank order. Normalized lemmas remain unique so base words do not repeat before list exhaustion; each selected record still carries its assigned part of speech.</w:t>
      </w:r>
    </w:p>
    <w:p>
      <w:pPr>
        <w:pStyle w:val="Heading2"/>
      </w:pPr>
      <w:r>
        <w:t>4.2 Final-row rule</w:t>
      </w:r>
    </w:p>
    <w:p>
      <w:pPr>
        <w:spacing w:after="120" w:line="264" w:lineRule="auto"/>
      </w:pPr>
      <w:r>
        <w:t>The Sentence Creation page displays this rule above the settings: final rows = base words × (1 + extra forms). The hard maximum is 5,000. When the extra-form value changes, the base-word control changes its maximum immediately.</w:t>
      </w:r>
    </w:p>
    <w:tbl>
      <w:tblPr>
        <w:tblStyle w:val="TableGrid"/>
        <w:tblW w:type="dxa" w:w="9360"/>
        <w:jc w:val="center"/>
        <w:tblLayout w:type="fixed"/>
        <w:tblLook w:firstColumn="1" w:firstRow="1" w:lastColumn="0" w:lastRow="0" w:noHBand="0" w:noVBand="1" w:val="04A0"/>
        <w:tblInd w:w="120" w:type="dxa"/>
      </w:tblPr>
      <w:tblGrid>
        <w:gridCol w:w="1800"/>
        <w:gridCol w:w="2100"/>
        <w:gridCol w:w="2600"/>
        <w:gridCol w:w="2860"/>
      </w:tblGrid>
      <w:tr>
        <w:tc>
          <w:tcPr>
            <w:tcW w:type="dxa" w:w="1800"/>
            <w:shd w:fill="F2F4F7"/>
            <w:vAlign w:val="center"/>
          </w:tcPr>
          <w:p>
            <w:r>
              <w:rPr>
                <w:b/>
                <w:color w:val="1F4D78"/>
              </w:rPr>
              <w:t>Extra forms</w:t>
            </w:r>
          </w:p>
        </w:tc>
        <w:tc>
          <w:tcPr>
            <w:tcW w:type="dxa" w:w="2100"/>
            <w:shd w:fill="F2F4F7"/>
            <w:vAlign w:val="center"/>
          </w:tcPr>
          <w:p>
            <w:r>
              <w:rPr>
                <w:b/>
                <w:color w:val="1F4D78"/>
              </w:rPr>
              <w:t>Rows per base word</w:t>
            </w:r>
          </w:p>
        </w:tc>
        <w:tc>
          <w:tcPr>
            <w:tcW w:type="dxa" w:w="2600"/>
            <w:shd w:fill="F2F4F7"/>
            <w:vAlign w:val="center"/>
          </w:tcPr>
          <w:p>
            <w:r>
              <w:rPr>
                <w:b/>
                <w:color w:val="1F4D78"/>
              </w:rPr>
              <w:t>Maximum base words</w:t>
            </w:r>
          </w:p>
        </w:tc>
        <w:tc>
          <w:tcPr>
            <w:tcW w:type="dxa" w:w="2860"/>
            <w:shd w:fill="F2F4F7"/>
            <w:vAlign w:val="center"/>
          </w:tcPr>
          <w:p>
            <w:r>
              <w:rPr>
                <w:b/>
                <w:color w:val="1F4D78"/>
              </w:rPr>
              <w:t>Maximum final rows</w:t>
            </w:r>
          </w:p>
        </w:tc>
      </w:tr>
      <w:tr>
        <w:tc>
          <w:tcPr>
            <w:tcW w:type="dxa" w:w="1800"/>
            <w:vAlign w:val="center"/>
          </w:tcPr>
          <w:p>
            <w:r>
              <w:t>0</w:t>
            </w:r>
          </w:p>
        </w:tc>
        <w:tc>
          <w:tcPr>
            <w:tcW w:type="dxa" w:w="2100"/>
            <w:vAlign w:val="center"/>
          </w:tcPr>
          <w:p>
            <w:r>
              <w:t>1</w:t>
            </w:r>
          </w:p>
        </w:tc>
        <w:tc>
          <w:tcPr>
            <w:tcW w:type="dxa" w:w="2600"/>
            <w:vAlign w:val="center"/>
          </w:tcPr>
          <w:p>
            <w:r>
              <w:t>5,000</w:t>
            </w:r>
          </w:p>
        </w:tc>
        <w:tc>
          <w:tcPr>
            <w:tcW w:type="dxa" w:w="2860"/>
            <w:vAlign w:val="center"/>
          </w:tcPr>
          <w:p>
            <w:r>
              <w:t>5,000</w:t>
            </w:r>
          </w:p>
        </w:tc>
      </w:tr>
      <w:tr>
        <w:tc>
          <w:tcPr>
            <w:tcW w:type="dxa" w:w="1800"/>
            <w:vAlign w:val="center"/>
          </w:tcPr>
          <w:p>
            <w:r>
              <w:t>1</w:t>
            </w:r>
          </w:p>
        </w:tc>
        <w:tc>
          <w:tcPr>
            <w:tcW w:type="dxa" w:w="2100"/>
            <w:vAlign w:val="center"/>
          </w:tcPr>
          <w:p>
            <w:r>
              <w:t>2</w:t>
            </w:r>
          </w:p>
        </w:tc>
        <w:tc>
          <w:tcPr>
            <w:tcW w:type="dxa" w:w="2600"/>
            <w:vAlign w:val="center"/>
          </w:tcPr>
          <w:p>
            <w:r>
              <w:t>2,500</w:t>
            </w:r>
          </w:p>
        </w:tc>
        <w:tc>
          <w:tcPr>
            <w:tcW w:type="dxa" w:w="2860"/>
            <w:vAlign w:val="center"/>
          </w:tcPr>
          <w:p>
            <w:r>
              <w:t>5,000</w:t>
            </w:r>
          </w:p>
        </w:tc>
      </w:tr>
      <w:tr>
        <w:tc>
          <w:tcPr>
            <w:tcW w:type="dxa" w:w="1800"/>
            <w:vAlign w:val="center"/>
          </w:tcPr>
          <w:p>
            <w:r>
              <w:t>2</w:t>
            </w:r>
          </w:p>
        </w:tc>
        <w:tc>
          <w:tcPr>
            <w:tcW w:type="dxa" w:w="2100"/>
            <w:vAlign w:val="center"/>
          </w:tcPr>
          <w:p>
            <w:r>
              <w:t>3</w:t>
            </w:r>
          </w:p>
        </w:tc>
        <w:tc>
          <w:tcPr>
            <w:tcW w:type="dxa" w:w="2600"/>
            <w:vAlign w:val="center"/>
          </w:tcPr>
          <w:p>
            <w:r>
              <w:t>1,666</w:t>
            </w:r>
          </w:p>
        </w:tc>
        <w:tc>
          <w:tcPr>
            <w:tcW w:type="dxa" w:w="2860"/>
            <w:vAlign w:val="center"/>
          </w:tcPr>
          <w:p>
            <w:r>
              <w:t>4,998</w:t>
            </w:r>
          </w:p>
        </w:tc>
      </w:tr>
      <w:tr>
        <w:tc>
          <w:tcPr>
            <w:tcW w:type="dxa" w:w="1800"/>
            <w:vAlign w:val="center"/>
          </w:tcPr>
          <w:p>
            <w:r>
              <w:t>3</w:t>
            </w:r>
          </w:p>
        </w:tc>
        <w:tc>
          <w:tcPr>
            <w:tcW w:type="dxa" w:w="2100"/>
            <w:vAlign w:val="center"/>
          </w:tcPr>
          <w:p>
            <w:r>
              <w:t>4</w:t>
            </w:r>
          </w:p>
        </w:tc>
        <w:tc>
          <w:tcPr>
            <w:tcW w:type="dxa" w:w="2600"/>
            <w:vAlign w:val="center"/>
          </w:tcPr>
          <w:p>
            <w:r>
              <w:t>1,250</w:t>
            </w:r>
          </w:p>
        </w:tc>
        <w:tc>
          <w:tcPr>
            <w:tcW w:type="dxa" w:w="2860"/>
            <w:vAlign w:val="center"/>
          </w:tcPr>
          <w:p>
            <w:r>
              <w:t>5,000</w:t>
            </w:r>
          </w:p>
        </w:tc>
      </w:tr>
      <w:tr>
        <w:tc>
          <w:tcPr>
            <w:tcW w:type="dxa" w:w="1800"/>
            <w:vAlign w:val="center"/>
          </w:tcPr>
          <w:p>
            <w:r>
              <w:t>4</w:t>
            </w:r>
          </w:p>
        </w:tc>
        <w:tc>
          <w:tcPr>
            <w:tcW w:type="dxa" w:w="2100"/>
            <w:vAlign w:val="center"/>
          </w:tcPr>
          <w:p>
            <w:r>
              <w:t>5</w:t>
            </w:r>
          </w:p>
        </w:tc>
        <w:tc>
          <w:tcPr>
            <w:tcW w:type="dxa" w:w="2600"/>
            <w:vAlign w:val="center"/>
          </w:tcPr>
          <w:p>
            <w:r>
              <w:t>1,000</w:t>
            </w:r>
          </w:p>
        </w:tc>
        <w:tc>
          <w:tcPr>
            <w:tcW w:type="dxa" w:w="2860"/>
            <w:vAlign w:val="center"/>
          </w:tcPr>
          <w:p>
            <w:r>
              <w:t>5,000</w:t>
            </w:r>
          </w:p>
        </w:tc>
      </w:tr>
    </w:tbl>
    <w:p>
      <w:pPr>
        <w:pStyle w:val="Heading2"/>
      </w:pPr>
      <w:r>
        <w:t>4.3 Part-of-speech-aware forms</w:t>
      </w:r>
    </w:p>
    <w:tbl>
      <w:tblPr>
        <w:tblStyle w:val="TableGrid"/>
        <w:tblW w:type="dxa" w:w="9360"/>
        <w:jc w:val="center"/>
        <w:tblLayout w:type="fixed"/>
        <w:tblLook w:firstColumn="1" w:firstRow="1" w:lastColumn="0" w:lastRow="0" w:noHBand="0" w:noVBand="1" w:val="04A0"/>
        <w:tblInd w:w="120" w:type="dxa"/>
      </w:tblPr>
      <w:tblGrid>
        <w:gridCol w:w="2400"/>
        <w:gridCol w:w="6960"/>
      </w:tblGrid>
      <w:tr>
        <w:tc>
          <w:tcPr>
            <w:tcW w:type="dxa" w:w="2400"/>
            <w:shd w:fill="F2F4F7"/>
            <w:vAlign w:val="center"/>
          </w:tcPr>
          <w:p>
            <w:r>
              <w:rPr>
                <w:b/>
                <w:color w:val="1F4D78"/>
              </w:rPr>
              <w:t>Word type</w:t>
            </w:r>
          </w:p>
        </w:tc>
        <w:tc>
          <w:tcPr>
            <w:tcW w:type="dxa" w:w="6960"/>
            <w:shd w:fill="F2F4F7"/>
            <w:vAlign w:val="center"/>
          </w:tcPr>
          <w:p>
            <w:r>
              <w:rPr>
                <w:b/>
                <w:color w:val="1F4D78"/>
              </w:rPr>
              <w:t>Examples of valid variation</w:t>
            </w:r>
          </w:p>
        </w:tc>
      </w:tr>
      <w:tr>
        <w:tc>
          <w:tcPr>
            <w:tcW w:type="dxa" w:w="2400"/>
            <w:vAlign w:val="center"/>
          </w:tcPr>
          <w:p>
            <w:r>
              <w:t>Verb</w:t>
            </w:r>
          </w:p>
        </w:tc>
        <w:tc>
          <w:tcPr>
            <w:tcW w:type="dxa" w:w="6960"/>
            <w:vAlign w:val="center"/>
          </w:tcPr>
          <w:p>
            <w:r>
              <w:t>tense, mood, person, participle: be / was / been</w:t>
            </w:r>
          </w:p>
        </w:tc>
      </w:tr>
      <w:tr>
        <w:tc>
          <w:tcPr>
            <w:tcW w:type="dxa" w:w="2400"/>
            <w:vAlign w:val="center"/>
          </w:tcPr>
          <w:p>
            <w:r>
              <w:t>Noun</w:t>
            </w:r>
          </w:p>
        </w:tc>
        <w:tc>
          <w:tcPr>
            <w:tcW w:type="dxa" w:w="6960"/>
            <w:vAlign w:val="center"/>
          </w:tcPr>
          <w:p>
            <w:r>
              <w:t>number or case: tool / tools</w:t>
            </w:r>
          </w:p>
        </w:tc>
      </w:tr>
      <w:tr>
        <w:tc>
          <w:tcPr>
            <w:tcW w:type="dxa" w:w="2400"/>
            <w:vAlign w:val="center"/>
          </w:tcPr>
          <w:p>
            <w:r>
              <w:t>Adjective</w:t>
            </w:r>
          </w:p>
        </w:tc>
        <w:tc>
          <w:tcPr>
            <w:tcW w:type="dxa" w:w="6960"/>
            <w:vAlign w:val="center"/>
          </w:tcPr>
          <w:p>
            <w:r>
              <w:t>agreement, case, or comparison: good / better</w:t>
            </w:r>
          </w:p>
        </w:tc>
      </w:tr>
      <w:tr>
        <w:tc>
          <w:tcPr>
            <w:tcW w:type="dxa" w:w="2400"/>
            <w:vAlign w:val="center"/>
          </w:tcPr>
          <w:p>
            <w:r>
              <w:t>Pronoun/determiner/article</w:t>
            </w:r>
          </w:p>
        </w:tc>
        <w:tc>
          <w:tcPr>
            <w:tcW w:type="dxa" w:w="6960"/>
            <w:vAlign w:val="center"/>
          </w:tcPr>
          <w:p>
            <w:r>
              <w:t>case, gender, or number where supported</w:t>
            </w:r>
          </w:p>
        </w:tc>
      </w:tr>
      <w:tr>
        <w:tc>
          <w:tcPr>
            <w:tcW w:type="dxa" w:w="2400"/>
            <w:vAlign w:val="center"/>
          </w:tcPr>
          <w:p>
            <w:r>
              <w:t>Invariant/limited</w:t>
            </w:r>
          </w:p>
        </w:tc>
        <w:tc>
          <w:tcPr>
            <w:tcW w:type="dxa" w:w="6960"/>
            <w:vAlign w:val="center"/>
          </w:tcPr>
          <w:p>
            <w:r>
              <w:t>same surface form in a distinct standalone context, labelled invariant-context-N</w:t>
            </w:r>
          </w:p>
        </w:tc>
      </w:tr>
    </w:tbl>
    <w:p>
      <w:pPr>
        <w:pStyle w:val="Heading2"/>
      </w:pPr>
      <w:r>
        <w:t>4.4 CEFR, sentence type, and pronouns</w:t>
      </w:r>
    </w:p>
    <w:tbl>
      <w:tblPr>
        <w:tblStyle w:val="TableGrid"/>
        <w:tblW w:type="dxa" w:w="9360"/>
        <w:jc w:val="center"/>
        <w:tblLayout w:type="fixed"/>
        <w:tblLook w:firstColumn="1" w:firstRow="1" w:lastColumn="0" w:lastRow="0" w:noHBand="0" w:noVBand="1" w:val="04A0"/>
        <w:tblInd w:w="120" w:type="dxa"/>
      </w:tblPr>
      <w:tblGrid>
        <w:gridCol w:w="3000"/>
        <w:gridCol w:w="6360"/>
      </w:tblGrid>
      <w:tr>
        <w:tc>
          <w:tcPr>
            <w:tcW w:type="dxa" w:w="3000"/>
            <w:shd w:fill="F2F4F7"/>
            <w:vAlign w:val="center"/>
          </w:tcPr>
          <w:p>
            <w:r>
              <w:rPr>
                <w:b/>
                <w:color w:val="1F4D78"/>
              </w:rPr>
              <w:t>CEFR</w:t>
            </w:r>
          </w:p>
        </w:tc>
        <w:tc>
          <w:tcPr>
            <w:tcW w:type="dxa" w:w="6360"/>
            <w:shd w:fill="F2F4F7"/>
            <w:vAlign w:val="center"/>
          </w:tcPr>
          <w:p>
            <w:r>
              <w:rPr>
                <w:b/>
                <w:color w:val="1F4D78"/>
              </w:rPr>
              <w:t>Maximum words</w:t>
            </w:r>
          </w:p>
        </w:tc>
      </w:tr>
      <w:tr>
        <w:tc>
          <w:tcPr>
            <w:tcW w:type="dxa" w:w="3000"/>
            <w:vAlign w:val="center"/>
          </w:tcPr>
          <w:p>
            <w:r>
              <w:t>A1</w:t>
            </w:r>
          </w:p>
        </w:tc>
        <w:tc>
          <w:tcPr>
            <w:tcW w:type="dxa" w:w="6360"/>
            <w:vAlign w:val="center"/>
          </w:tcPr>
          <w:p>
            <w:r>
              <w:t>5</w:t>
            </w:r>
          </w:p>
        </w:tc>
      </w:tr>
      <w:tr>
        <w:tc>
          <w:tcPr>
            <w:tcW w:type="dxa" w:w="3000"/>
            <w:vAlign w:val="center"/>
          </w:tcPr>
          <w:p>
            <w:r>
              <w:t>A2</w:t>
            </w:r>
          </w:p>
        </w:tc>
        <w:tc>
          <w:tcPr>
            <w:tcW w:type="dxa" w:w="6360"/>
            <w:vAlign w:val="center"/>
          </w:tcPr>
          <w:p>
            <w:r>
              <w:t>8</w:t>
            </w:r>
          </w:p>
        </w:tc>
      </w:tr>
      <w:tr>
        <w:tc>
          <w:tcPr>
            <w:tcW w:type="dxa" w:w="3000"/>
            <w:vAlign w:val="center"/>
          </w:tcPr>
          <w:p>
            <w:r>
              <w:t>B1</w:t>
            </w:r>
          </w:p>
        </w:tc>
        <w:tc>
          <w:tcPr>
            <w:tcW w:type="dxa" w:w="6360"/>
            <w:vAlign w:val="center"/>
          </w:tcPr>
          <w:p>
            <w:r>
              <w:t>11</w:t>
            </w:r>
          </w:p>
        </w:tc>
      </w:tr>
      <w:tr>
        <w:tc>
          <w:tcPr>
            <w:tcW w:type="dxa" w:w="3000"/>
            <w:vAlign w:val="center"/>
          </w:tcPr>
          <w:p>
            <w:r>
              <w:t>B2</w:t>
            </w:r>
          </w:p>
        </w:tc>
        <w:tc>
          <w:tcPr>
            <w:tcW w:type="dxa" w:w="6360"/>
            <w:vAlign w:val="center"/>
          </w:tcPr>
          <w:p>
            <w:r>
              <w:t>14</w:t>
            </w:r>
          </w:p>
        </w:tc>
      </w:tr>
      <w:tr>
        <w:tc>
          <w:tcPr>
            <w:tcW w:type="dxa" w:w="3000"/>
            <w:vAlign w:val="center"/>
          </w:tcPr>
          <w:p>
            <w:r>
              <w:t>C1</w:t>
            </w:r>
          </w:p>
        </w:tc>
        <w:tc>
          <w:tcPr>
            <w:tcW w:type="dxa" w:w="6360"/>
            <w:vAlign w:val="center"/>
          </w:tcPr>
          <w:p>
            <w:r>
              <w:t>17</w:t>
            </w:r>
          </w:p>
        </w:tc>
      </w:tr>
      <w:tr>
        <w:tc>
          <w:tcPr>
            <w:tcW w:type="dxa" w:w="3000"/>
            <w:vAlign w:val="center"/>
          </w:tcPr>
          <w:p>
            <w:r>
              <w:t>C2</w:t>
            </w:r>
          </w:p>
        </w:tc>
        <w:tc>
          <w:tcPr>
            <w:tcW w:type="dxa" w:w="6360"/>
            <w:vAlign w:val="center"/>
          </w:tcPr>
          <w:p>
            <w:r>
              <w:t>20</w:t>
            </w:r>
          </w:p>
        </w:tc>
      </w:tr>
    </w:tbl>
    <w:p>
      <w:pPr>
        <w:pStyle w:val="ListBullet"/>
        <w:spacing w:after="160" w:line="280" w:lineRule="auto"/>
        <w:ind w:left="720" w:hanging="360"/>
      </w:pPr>
      <w:r>
        <w:t>Single-level mode or a contiguous gradual range A1 through C2.</w:t>
      </w:r>
    </w:p>
    <w:p>
      <w:pPr>
        <w:pStyle w:val="ListBullet"/>
        <w:spacing w:after="160" w:line="280" w:lineRule="auto"/>
        <w:ind w:left="720" w:hanging="360"/>
      </w:pPr>
      <w:r>
        <w:t>Gradual percentages total exactly 100%; deterministic largest-remainder rounding is used.</w:t>
      </w:r>
    </w:p>
    <w:p>
      <w:pPr>
        <w:pStyle w:val="ListBullet"/>
        <w:spacing w:after="160" w:line="280" w:lineRule="auto"/>
        <w:ind w:left="720" w:hanging="360"/>
      </w:pPr>
      <w:r>
        <w:t>Rows remain in ascending CEFR order; vocabulary, grammar, and length are controlled together.</w:t>
      </w:r>
    </w:p>
    <w:p>
      <w:pPr>
        <w:pStyle w:val="ListBullet"/>
        <w:spacing w:after="160" w:line="280" w:lineRule="auto"/>
        <w:ind w:left="720" w:hanging="360"/>
      </w:pPr>
      <w:r>
        <w:t>Question percentage allocates questions versus declarative statements; yes/no and open questions are allowed.</w:t>
      </w:r>
    </w:p>
    <w:p>
      <w:pPr>
        <w:pStyle w:val="ListBullet"/>
        <w:spacing w:after="160" w:line="280" w:lineRule="auto"/>
        <w:ind w:left="720" w:hanging="360"/>
      </w:pPr>
      <w:r>
        <w:t>Pronoun cadence: one person throughout, or change every 20, 10, 3, or 1 base rows.</w:t>
      </w:r>
    </w:p>
    <w:p>
      <w:pPr>
        <w:pStyle w:val="ListBullet"/>
        <w:spacing w:after="160" w:line="280" w:lineRule="auto"/>
        <w:ind w:left="720" w:hanging="360"/>
      </w:pPr>
      <w:r>
        <w:t>Every example must be complete, meaningful, formal, and contain the assigned word/form.</w:t>
      </w:r>
    </w:p>
    <w:p>
      <w:pPr>
        <w:pStyle w:val="Heading1"/>
      </w:pPr>
      <w:r>
        <w:t>5. Providers, credentials, and cost</w:t>
      </w:r>
    </w:p>
    <w:p>
      <w:pPr>
        <w:spacing w:after="120" w:line="264" w:lineRule="auto"/>
      </w:pPr>
      <w:r>
        <w:t>Supported providers are OpenAI, Anthropic, Google Gemini, DeepSeek, Ollama, and custom OpenAI-compatible endpoints. The user pastes their key, tests the connection, and chooses a discovered model. If no cloud key is available, Show more explains how to install Ollama and pull a suitable model.</w:t>
      </w:r>
    </w:p>
    <w:p>
      <w:pPr>
        <w:pStyle w:val="ListBullet"/>
        <w:spacing w:after="160" w:line="280" w:lineRule="auto"/>
        <w:ind w:left="720" w:hanging="360"/>
      </w:pPr>
      <w:r>
        <w:t>Keys are session-only unless the user opts into Windows Credential Manager.</w:t>
      </w:r>
    </w:p>
    <w:p>
      <w:pPr>
        <w:pStyle w:val="ListBullet"/>
        <w:spacing w:after="160" w:line="280" w:lineRule="auto"/>
        <w:ind w:left="720" w:hanging="360"/>
      </w:pPr>
      <w:r>
        <w:t>Keys never enter SQLite, logs, workbooks, checkpoints, or exported settings.</w:t>
      </w:r>
    </w:p>
    <w:p>
      <w:pPr>
        <w:pStyle w:val="ListBullet"/>
        <w:spacing w:after="160" w:line="280" w:lineRule="auto"/>
        <w:ind w:left="720" w:hanging="360"/>
      </w:pPr>
      <w:r>
        <w:t>The cost panel compares 1,000, 2,000, 3,000, 4,000, and 5,000 rows plus the current configuration.</w:t>
      </w:r>
    </w:p>
    <w:p>
      <w:pPr>
        <w:pStyle w:val="ListBullet"/>
        <w:spacing w:after="160" w:line="280" w:lineRule="auto"/>
        <w:ind w:left="720" w:hanging="360"/>
      </w:pPr>
      <w:r>
        <w:t>Unknown pricing is labelled Unknown; provider pricing and billing are authoritative.</w:t>
      </w:r>
    </w:p>
    <w:p>
      <w:pPr>
        <w:pStyle w:val="Heading1"/>
      </w:pPr>
      <w:r>
        <w:t>6. Output specification</w:t>
      </w:r>
    </w:p>
    <w:p>
      <w:pPr>
        <w:spacing w:after="120" w:line="264" w:lineRule="auto"/>
      </w:pPr>
      <w:r>
        <w:t>The canonical format is `.xlsx`; CSV export is optional. The Sentences sheet contains exactly four public columns in this order:</w:t>
      </w:r>
    </w:p>
    <w:p>
      <w:pPr>
        <w:pStyle w:val="ListNumber"/>
        <w:spacing w:after="160" w:line="280" w:lineRule="auto"/>
        <w:ind w:left="720" w:hanging="360"/>
      </w:pPr>
      <w:r>
        <w:t>Foreign-language word</w:t>
      </w:r>
    </w:p>
    <w:p>
      <w:pPr>
        <w:pStyle w:val="ListNumber"/>
        <w:spacing w:after="160" w:line="280" w:lineRule="auto"/>
        <w:ind w:left="720" w:hanging="360"/>
      </w:pPr>
      <w:r>
        <w:t>Word translation</w:t>
      </w:r>
    </w:p>
    <w:p>
      <w:pPr>
        <w:pStyle w:val="ListNumber"/>
        <w:spacing w:after="160" w:line="280" w:lineRule="auto"/>
        <w:ind w:left="720" w:hanging="360"/>
      </w:pPr>
      <w:r>
        <w:t>Foreign-language sentence</w:t>
      </w:r>
    </w:p>
    <w:p>
      <w:pPr>
        <w:pStyle w:val="ListNumber"/>
        <w:spacing w:after="160" w:line="280" w:lineRule="auto"/>
        <w:ind w:left="720" w:hanging="360"/>
      </w:pPr>
      <w:r>
        <w:t>Sentence translation</w:t>
      </w:r>
    </w:p>
    <w:p>
      <w:pPr>
        <w:spacing w:after="120" w:line="264" w:lineRule="auto"/>
      </w:pPr>
      <w:r>
        <w:t>Metadata records CEFR, frequency rank, grammatical person, word form/variant, question/statement, timestamp, provider, model, validation, seed, generation settings, token usage, and estimated/actual cost. Older four-column verb headers remain import-compatible. Workbooks use worksheet AutoFilter rather than an OOXML Table object to avoid Excel repair warnings.</w:t>
      </w:r>
    </w:p>
    <w:p>
      <w:pPr>
        <w:pStyle w:val="Heading1"/>
      </w:pPr>
      <w:r>
        <w:t>7. Text-to-Speech</w:t>
      </w:r>
    </w:p>
    <w:p>
      <w:pPr>
        <w:pStyle w:val="ListBullet"/>
        <w:spacing w:after="160" w:line="280" w:lineRule="auto"/>
        <w:ind w:left="720" w:hanging="360"/>
      </w:pPr>
      <w:r>
        <w:t>Import from History or any compatible `.xlsx` file; clearly label Language 1 as foreign and Language 2 as translation.</w:t>
      </w:r>
    </w:p>
    <w:p>
      <w:pPr>
        <w:pStyle w:val="ListBullet"/>
        <w:spacing w:after="160" w:line="280" w:lineRule="auto"/>
        <w:ind w:left="720" w:hanging="360"/>
      </w:pPr>
      <w:r>
        <w:t>Speak all four columns in order; foreign voice for columns 1 and 3, translation voice for 2 and 4.</w:t>
      </w:r>
    </w:p>
    <w:p>
      <w:pPr>
        <w:pStyle w:val="ListBullet"/>
        <w:spacing w:after="160" w:line="280" w:lineRule="auto"/>
        <w:ind w:left="720" w:hanging="360"/>
      </w:pPr>
      <w:r>
        <w:t>Use Microsoft Edge neural voices, including Italian voice discovery.</w:t>
      </w:r>
    </w:p>
    <w:p>
      <w:pPr>
        <w:pStyle w:val="ListBullet"/>
        <w:spacing w:after="160" w:line="280" w:lineRule="auto"/>
        <w:ind w:left="720" w:hanging="360"/>
      </w:pPr>
      <w:r>
        <w:t>Provide voice, speed, pitch, volume, and four independent 1–10 second pause controls.</w:t>
      </w:r>
    </w:p>
    <w:p>
      <w:pPr>
        <w:pStyle w:val="ListBullet"/>
        <w:spacing w:after="160" w:line="280" w:lineRule="auto"/>
        <w:ind w:left="720" w:hanging="360"/>
      </w:pPr>
      <w:r>
        <w:t>Preview exactly two rows; generate one combined MP3; never repeat rows.</w:t>
      </w:r>
    </w:p>
    <w:p>
      <w:pPr>
        <w:pStyle w:val="ListBullet"/>
        <w:spacing w:after="160" w:line="280" w:lineRule="auto"/>
        <w:ind w:left="720" w:hanging="360"/>
      </w:pPr>
      <w:r>
        <w:t>Pause, resume, cancel, preserve partial MP3, record the last completed row, and checksum-safe continuation.</w:t>
      </w:r>
    </w:p>
    <w:p>
      <w:pPr>
        <w:pStyle w:val="Heading1"/>
      </w:pPr>
      <w:r>
        <w:t>8. History and local storage</w:t>
      </w:r>
    </w:p>
    <w:p>
      <w:pPr>
        <w:spacing w:after="120" w:line="264" w:lineRule="auto"/>
      </w:pPr>
      <w:r>
        <w:t>SQLite stores metadata while files live in the current Windows user's application-data directory, not the installed executable folder. History retains the latest 20 spreadsheets and 20 audio files independently.</w:t>
      </w:r>
    </w:p>
    <w:p>
      <w:pPr>
        <w:pStyle w:val="ListBullet"/>
        <w:spacing w:after="160" w:line="280" w:lineRule="auto"/>
        <w:ind w:left="720" w:hanging="360"/>
      </w:pPr>
      <w:r>
        <w:t>Rename changes only the app-owned file and catalogue entry.</w:t>
      </w:r>
    </w:p>
    <w:p>
      <w:pPr>
        <w:pStyle w:val="ListBullet"/>
        <w:spacing w:after="160" w:line="280" w:lineRule="auto"/>
        <w:ind w:left="720" w:hanging="360"/>
      </w:pPr>
      <w:r>
        <w:t>Delete and automatic retention move app-owned files to the Windows Recycle Bin.</w:t>
      </w:r>
    </w:p>
    <w:p>
      <w:pPr>
        <w:pStyle w:val="ListBullet"/>
        <w:spacing w:after="160" w:line="280" w:lineRule="auto"/>
        <w:ind w:left="720" w:hanging="360"/>
      </w:pPr>
      <w:r>
        <w:t>Export creates an external copy that the app never later renames or deletes.</w:t>
      </w:r>
    </w:p>
    <w:p>
      <w:pPr>
        <w:pStyle w:val="ListBullet"/>
        <w:spacing w:after="160" w:line="280" w:lineRule="auto"/>
        <w:ind w:left="720" w:hanging="360"/>
      </w:pPr>
      <w:r>
        <w:t>Regenerate preserves the original, restores its settings, uses a new seed, and creates a new output.</w:t>
      </w:r>
    </w:p>
    <w:p>
      <w:pPr>
        <w:pStyle w:val="Heading1"/>
      </w:pPr>
      <w:r>
        <w:t>9. Corpus sources and licensing</w:t>
      </w:r>
    </w:p>
    <w:p>
      <w:pPr>
        <w:spacing w:after="120" w:line="264" w:lineRule="auto"/>
      </w:pPr>
      <w:r>
        <w:t>The canonical production ranking is generated consistently for all six languages with wordfreq. Kaikki/Wiktionary provides lexical structure and forms. Secondary sources supplied for this project are used for automated comparison and anomaly reporting when their terms do not clearly permit redistribution.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Source</w:t>
            </w:r>
          </w:p>
        </w:tc>
        <w:tc>
          <w:tcPr>
            <w:tcW w:type="dxa" w:w="6860"/>
            <w:shd w:fill="F2F4F7"/>
            <w:vAlign w:val="center"/>
          </w:tcPr>
          <w:p>
            <w:r>
              <w:rPr>
                <w:b/>
                <w:color w:val="1F4D78"/>
              </w:rPr>
              <w:t>Role / decision</w:t>
            </w:r>
          </w:p>
        </w:tc>
      </w:tr>
      <w:tr>
        <w:tc>
          <w:tcPr>
            <w:tcW w:type="dxa" w:w="2500"/>
            <w:vAlign w:val="center"/>
          </w:tcPr>
          <w:p>
            <w:r>
              <w:t>wordfreq</w:t>
            </w:r>
          </w:p>
        </w:tc>
        <w:tc>
          <w:tcPr>
            <w:tcW w:type="dxa" w:w="6860"/>
            <w:vAlign w:val="center"/>
          </w:tcPr>
          <w:p>
            <w:r>
              <w:t>Canonical ranked list; redistributable data under CC BY-SA 4.0 with upstream notices</w:t>
            </w:r>
          </w:p>
        </w:tc>
      </w:tr>
      <w:tr>
        <w:tc>
          <w:tcPr>
            <w:tcW w:type="dxa" w:w="2500"/>
            <w:vAlign w:val="center"/>
          </w:tcPr>
          <w:p>
            <w:r>
              <w:t>Kaikki/Wiktionary</w:t>
            </w:r>
          </w:p>
        </w:tc>
        <w:tc>
          <w:tcPr>
            <w:tcW w:type="dxa" w:w="6860"/>
            <w:vAlign w:val="center"/>
          </w:tcPr>
          <w:p>
            <w:r>
              <w:t>Lemma, POS, forms, translations; Wiktionary CC BY-SA 3.0/GFDL attribution retained</w:t>
            </w:r>
          </w:p>
        </w:tc>
      </w:tr>
      <w:tr>
        <w:tc>
          <w:tcPr>
            <w:tcW w:type="dxa" w:w="2500"/>
            <w:vAlign w:val="center"/>
          </w:tcPr>
          <w:p>
            <w:r>
              <w:t>frequencylist.com</w:t>
            </w:r>
          </w:p>
        </w:tc>
        <w:tc>
          <w:tcPr>
            <w:tcW w:type="dxa" w:w="6860"/>
            <w:vAlign w:val="center"/>
          </w:tcPr>
          <w:p>
            <w:r>
              <w:t>US English comparison; not canonical without explicit redistribution terms</w:t>
            </w:r>
          </w:p>
        </w:tc>
      </w:tr>
      <w:tr>
        <w:tc>
          <w:tcPr>
            <w:tcW w:type="dxa" w:w="2500"/>
            <w:vAlign w:val="center"/>
          </w:tcPr>
          <w:p>
            <w:r>
              <w:t>Spanish with Tati</w:t>
            </w:r>
          </w:p>
        </w:tc>
        <w:tc>
          <w:tcPr>
            <w:tcW w:type="dxa" w:w="6860"/>
            <w:vAlign w:val="center"/>
          </w:tcPr>
          <w:p>
            <w:r>
              <w:t>Verb-only comparison; not an all-word canonical source</w:t>
            </w:r>
          </w:p>
        </w:tc>
      </w:tr>
      <w:tr>
        <w:tc>
          <w:tcPr>
            <w:tcW w:type="dxa" w:w="2500"/>
            <w:vAlign w:val="center"/>
          </w:tcPr>
          <w:p>
            <w:r>
              <w:t>French/Portuguese Wiktionary lists</w:t>
            </w:r>
          </w:p>
        </w:tc>
        <w:tc>
          <w:tcPr>
            <w:tcW w:type="dxa" w:w="6860"/>
            <w:vAlign w:val="center"/>
          </w:tcPr>
          <w:p>
            <w:r>
              <w:t>OpenSubtitles-form comparison; automated cleaning warnings apply</w:t>
            </w:r>
          </w:p>
        </w:tc>
      </w:tr>
      <w:tr>
        <w:tc>
          <w:tcPr>
            <w:tcW w:type="dxa" w:w="2500"/>
            <w:vAlign w:val="center"/>
          </w:tcPr>
          <w:p>
            <w:r>
              <w:t>OCR vocabulary PDF</w:t>
            </w:r>
          </w:p>
        </w:tc>
        <w:tc>
          <w:tcPr>
            <w:tcW w:type="dxa" w:w="6860"/>
            <w:vAlign w:val="center"/>
          </w:tcPr>
          <w:p>
            <w:r>
              <w:t>Copyrighted topical vocabulary cross-check; not a frequency list</w:t>
            </w:r>
          </w:p>
        </w:tc>
      </w:tr>
      <w:tr>
        <w:tc>
          <w:tcPr>
            <w:tcW w:type="dxa" w:w="2500"/>
            <w:vAlign w:val="center"/>
          </w:tcPr>
          <w:p>
            <w:r>
              <w:t>top10000words.com</w:t>
            </w:r>
          </w:p>
        </w:tc>
        <w:tc>
          <w:tcPr>
            <w:tcW w:type="dxa" w:w="6860"/>
            <w:vAlign w:val="center"/>
          </w:tcPr>
          <w:p>
            <w:r>
              <w:t>Italian rank comparison; not redistributed without compatible terms</w:t>
            </w:r>
          </w:p>
        </w:tc>
      </w:tr>
    </w:tbl>
    <w:p>
      <w:pPr>
        <w:spacing w:after="120" w:line="264" w:lineRule="auto"/>
      </w:pPr>
      <w:r>
        <w:t>No human linguistic approval gate is required. The automated gate nevertheless treats corpus and machine-translation outputs as fallible evidence and blocks incomplete or structurally invalid releases.</w:t>
      </w:r>
    </w:p>
    <w:p>
      <w:pPr>
        <w:pStyle w:val="Heading1"/>
      </w:pPr>
      <w:r>
        <w:t>10. Automated corpus pipeline</w:t>
      </w:r>
    </w:p>
    <w:p>
      <w:pPr>
        <w:pStyle w:val="ListNumber"/>
        <w:spacing w:after="160" w:line="280" w:lineRule="auto"/>
        <w:ind w:left="720" w:hanging="360"/>
      </w:pPr>
      <w:r>
        <w:t>Pin source releases/dump dates and calculate input checksums.</w:t>
      </w:r>
    </w:p>
    <w:p>
      <w:pPr>
        <w:pStyle w:val="ListNumber"/>
        <w:spacing w:after="160" w:line="280" w:lineRule="auto"/>
        <w:ind w:left="720" w:hanging="360"/>
      </w:pPr>
      <w:r>
        <w:t>Generate a deterministic top order for every locale with wordfreq.</w:t>
      </w:r>
    </w:p>
    <w:p>
      <w:pPr>
        <w:pStyle w:val="ListNumber"/>
        <w:spacing w:after="160" w:line="280" w:lineRule="auto"/>
        <w:ind w:left="720" w:hanging="360"/>
      </w:pPr>
      <w:r>
        <w:t>Join Kaikki entries; reject form-only, malformed, obsolete, slang, rare, or unsuitable records.</w:t>
      </w:r>
    </w:p>
    <w:p>
      <w:pPr>
        <w:pStyle w:val="ListNumber"/>
        <w:spacing w:after="160" w:line="280" w:lineRule="auto"/>
        <w:ind w:left="720" w:hanging="360"/>
      </w:pPr>
      <w:r>
        <w:t>Normalize Unicode and deduplicate by lemma so base words do not repeat.</w:t>
      </w:r>
    </w:p>
    <w:p>
      <w:pPr>
        <w:pStyle w:val="ListNumber"/>
        <w:spacing w:after="160" w:line="280" w:lineRule="auto"/>
        <w:ind w:left="720" w:hanging="360"/>
      </w:pPr>
      <w:r>
        <w:t>Collect dictionary forms/translations where available; use a documented unknown/base-form fallback otherwise.</w:t>
      </w:r>
    </w:p>
    <w:p>
      <w:pPr>
        <w:pStyle w:val="ListNumber"/>
        <w:spacing w:after="160" w:line="280" w:lineRule="auto"/>
        <w:ind w:left="720" w:hanging="360"/>
      </w:pPr>
      <w:r>
        <w:t>Validate the provider-supplied translation and form in every generated context, plus locale and attribution rules.</w:t>
      </w:r>
    </w:p>
    <w:p>
      <w:pPr>
        <w:pStyle w:val="ListNumber"/>
        <w:spacing w:after="160" w:line="280" w:lineRule="auto"/>
        <w:ind w:left="720" w:hanging="360"/>
      </w:pPr>
      <w:r>
        <w:t>Compare overlap/rank displacement against secondary sources and emit an audit report.</w:t>
      </w:r>
    </w:p>
    <w:p>
      <w:pPr>
        <w:pStyle w:val="ListNumber"/>
        <w:spacing w:after="160" w:line="280" w:lineRule="auto"/>
        <w:ind w:left="720" w:hanging="360"/>
      </w:pPr>
      <w:r>
        <w:t>Compile only `automated` rows and require 5,000 contiguous ranks for each of six languages.</w:t>
      </w:r>
    </w:p>
    <w:p>
      <w:pPr>
        <w:pStyle w:val="Heading1"/>
      </w:pPr>
      <w:r>
        <w:t>11. Architecture and technology</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Area</w:t>
            </w:r>
          </w:p>
        </w:tc>
        <w:tc>
          <w:tcPr>
            <w:tcW w:type="dxa" w:w="6860"/>
            <w:shd w:fill="F2F4F7"/>
            <w:vAlign w:val="center"/>
          </w:tcPr>
          <w:p>
            <w:r>
              <w:rPr>
                <w:b/>
                <w:color w:val="1F4D78"/>
              </w:rPr>
              <w:t>Technology</w:t>
            </w:r>
          </w:p>
        </w:tc>
      </w:tr>
      <w:tr>
        <w:tc>
          <w:tcPr>
            <w:tcW w:type="dxa" w:w="2500"/>
            <w:vAlign w:val="center"/>
          </w:tcPr>
          <w:p>
            <w:r>
              <w:t>Desktop UI</w:t>
            </w:r>
          </w:p>
        </w:tc>
        <w:tc>
          <w:tcPr>
            <w:tcW w:type="dxa" w:w="6860"/>
            <w:vAlign w:val="center"/>
          </w:tcPr>
          <w:p>
            <w:r>
              <w:t>Python 3.12, PySide6/Qt 6</w:t>
            </w:r>
          </w:p>
        </w:tc>
      </w:tr>
      <w:tr>
        <w:tc>
          <w:tcPr>
            <w:tcW w:type="dxa" w:w="2500"/>
            <w:vAlign w:val="center"/>
          </w:tcPr>
          <w:p>
            <w:r>
              <w:t>Validation/domain</w:t>
            </w:r>
          </w:p>
        </w:tc>
        <w:tc>
          <w:tcPr>
            <w:tcW w:type="dxa" w:w="6860"/>
            <w:vAlign w:val="center"/>
          </w:tcPr>
          <w:p>
            <w:r>
              <w:t>Pydantic, deterministic pure-Python planners</w:t>
            </w:r>
          </w:p>
        </w:tc>
      </w:tr>
      <w:tr>
        <w:tc>
          <w:tcPr>
            <w:tcW w:type="dxa" w:w="2500"/>
            <w:vAlign w:val="center"/>
          </w:tcPr>
          <w:p>
            <w:r>
              <w:t>Persistence</w:t>
            </w:r>
          </w:p>
        </w:tc>
        <w:tc>
          <w:tcPr>
            <w:tcW w:type="dxa" w:w="6860"/>
            <w:vAlign w:val="center"/>
          </w:tcPr>
          <w:p>
            <w:r>
              <w:t>SQLite, SQLAlchemy, platformdirs</w:t>
            </w:r>
          </w:p>
        </w:tc>
      </w:tr>
      <w:tr>
        <w:tc>
          <w:tcPr>
            <w:tcW w:type="dxa" w:w="2500"/>
            <w:vAlign w:val="center"/>
          </w:tcPr>
          <w:p>
            <w:r>
              <w:t>Workbooks</w:t>
            </w:r>
          </w:p>
        </w:tc>
        <w:tc>
          <w:tcPr>
            <w:tcW w:type="dxa" w:w="6860"/>
            <w:vAlign w:val="center"/>
          </w:tcPr>
          <w:p>
            <w:r>
              <w:t>openpyxl, pandas where useful</w:t>
            </w:r>
          </w:p>
        </w:tc>
      </w:tr>
      <w:tr>
        <w:tc>
          <w:tcPr>
            <w:tcW w:type="dxa" w:w="2500"/>
            <w:vAlign w:val="center"/>
          </w:tcPr>
          <w:p>
            <w:r>
              <w:t>AI</w:t>
            </w:r>
          </w:p>
        </w:tc>
        <w:tc>
          <w:tcPr>
            <w:tcW w:type="dxa" w:w="6860"/>
            <w:vAlign w:val="center"/>
          </w:tcPr>
          <w:p>
            <w:r>
              <w:t>httpx provider adapters; user APIs or Ollama</w:t>
            </w:r>
          </w:p>
        </w:tc>
      </w:tr>
      <w:tr>
        <w:tc>
          <w:tcPr>
            <w:tcW w:type="dxa" w:w="2500"/>
            <w:vAlign w:val="center"/>
          </w:tcPr>
          <w:p>
            <w:r>
              <w:t>TTS/audio</w:t>
            </w:r>
          </w:p>
        </w:tc>
        <w:tc>
          <w:tcPr>
            <w:tcW w:type="dxa" w:w="6860"/>
            <w:vAlign w:val="center"/>
          </w:tcPr>
          <w:p>
            <w:r>
              <w:t>edge-tts, FFmpeg/ffprobe</w:t>
            </w:r>
          </w:p>
        </w:tc>
      </w:tr>
      <w:tr>
        <w:tc>
          <w:tcPr>
            <w:tcW w:type="dxa" w:w="2500"/>
            <w:vAlign w:val="center"/>
          </w:tcPr>
          <w:p>
            <w:r>
              <w:t>Security</w:t>
            </w:r>
          </w:p>
        </w:tc>
        <w:tc>
          <w:tcPr>
            <w:tcW w:type="dxa" w:w="6860"/>
            <w:vAlign w:val="center"/>
          </w:tcPr>
          <w:p>
            <w:r>
              <w:t>Windows Credential Manager via keyring; structured redacted logs</w:t>
            </w:r>
          </w:p>
        </w:tc>
      </w:tr>
      <w:tr>
        <w:tc>
          <w:tcPr>
            <w:tcW w:type="dxa" w:w="2500"/>
            <w:vAlign w:val="center"/>
          </w:tcPr>
          <w:p>
            <w:r>
              <w:t>Build</w:t>
            </w:r>
          </w:p>
        </w:tc>
        <w:tc>
          <w:tcPr>
            <w:tcW w:type="dxa" w:w="6860"/>
            <w:vAlign w:val="center"/>
          </w:tcPr>
          <w:p>
            <w:r>
              <w:t>uv lock, Nuitka, Inno Setup, GitHub Actions</w:t>
            </w:r>
          </w:p>
        </w:tc>
      </w:tr>
      <w:tr>
        <w:tc>
          <w:tcPr>
            <w:tcW w:type="dxa" w:w="2500"/>
            <w:vAlign w:val="center"/>
          </w:tcPr>
          <w:p>
            <w:r>
              <w:t>Quality</w:t>
            </w:r>
          </w:p>
        </w:tc>
        <w:tc>
          <w:tcPr>
            <w:tcW w:type="dxa" w:w="6860"/>
            <w:vAlign w:val="center"/>
          </w:tcPr>
          <w:p>
            <w:r>
              <w:t>pytest, pytest-qt, Ruff, mypy, pip-audit, licence inventory</w:t>
            </w:r>
          </w:p>
        </w:tc>
      </w:tr>
    </w:tbl>
    <w:p>
      <w:pPr>
        <w:pStyle w:val="Heading1"/>
      </w:pPr>
      <w:r>
        <w:t>12. User workflow</w:t>
      </w:r>
    </w:p>
    <w:p>
      <w:pPr>
        <w:pStyle w:val="ListNumber"/>
        <w:spacing w:after="160" w:line="280" w:lineRule="auto"/>
        <w:ind w:left="720" w:hanging="360"/>
      </w:pPr>
      <w:r>
        <w:t>Install and open the app; it starts centered at 50% of the available screen.</w:t>
      </w:r>
    </w:p>
    <w:p>
      <w:pPr>
        <w:pStyle w:val="ListNumber"/>
        <w:spacing w:after="160" w:line="280" w:lineRule="auto"/>
        <w:ind w:left="720" w:hanging="360"/>
      </w:pPr>
      <w:r>
        <w:t>Choose learning and translation languages, provider, API/model or Ollama.</w:t>
      </w:r>
    </w:p>
    <w:p>
      <w:pPr>
        <w:pStyle w:val="ListNumber"/>
        <w:spacing w:after="160" w:line="280" w:lineRule="auto"/>
        <w:ind w:left="720" w:hanging="360"/>
      </w:pPr>
      <w:r>
        <w:t>Choose base words, extra forms, CEFR mode/range/percentages, question ratio, and pronoun cadence.</w:t>
      </w:r>
    </w:p>
    <w:p>
      <w:pPr>
        <w:pStyle w:val="ListNumber"/>
        <w:spacing w:after="160" w:line="280" w:lineRule="auto"/>
        <w:ind w:left="720" w:hanging="360"/>
      </w:pPr>
      <w:r>
        <w:t>Review the calculated row total and estimate, choose an output path, and generate.</w:t>
      </w:r>
    </w:p>
    <w:p>
      <w:pPr>
        <w:pStyle w:val="ListNumber"/>
        <w:spacing w:after="160" w:line="280" w:lineRule="auto"/>
        <w:ind w:left="720" w:hanging="360"/>
      </w:pPr>
      <w:r>
        <w:t>Open TTS, choose a History/import workbook, two languages and voices, audio controls and pauses.</w:t>
      </w:r>
    </w:p>
    <w:p>
      <w:pPr>
        <w:pStyle w:val="ListNumber"/>
        <w:spacing w:after="160" w:line="280" w:lineRule="auto"/>
        <w:ind w:left="720" w:hanging="360"/>
      </w:pPr>
      <w:r>
        <w:t>Preview two rows, then generate/resume the combined MP3.</w:t>
      </w:r>
    </w:p>
    <w:p>
      <w:pPr>
        <w:pStyle w:val="ListNumber"/>
        <w:spacing w:after="160" w:line="280" w:lineRule="auto"/>
        <w:ind w:left="720" w:hanging="360"/>
      </w:pPr>
      <w:r>
        <w:t>Use History to rename, recycle, export, or regenerate app-owned outputs.</w:t>
      </w:r>
    </w:p>
    <w:p>
      <w:pPr>
        <w:pStyle w:val="Heading1"/>
      </w:pPr>
      <w:r>
        <w:t>13. Development phases and gates</w:t>
      </w:r>
    </w:p>
    <w:tbl>
      <w:tblPr>
        <w:tblStyle w:val="TableGrid"/>
        <w:tblW w:type="dxa" w:w="9360"/>
        <w:jc w:val="center"/>
        <w:tblLayout w:type="fixed"/>
        <w:tblLook w:firstColumn="1" w:firstRow="1" w:lastColumn="0" w:lastRow="0" w:noHBand="0" w:noVBand="1" w:val="04A0"/>
        <w:tblInd w:w="120" w:type="dxa"/>
      </w:tblPr>
      <w:tblGrid>
        <w:gridCol w:w="1500"/>
        <w:gridCol w:w="3900"/>
        <w:gridCol w:w="3960"/>
      </w:tblGrid>
      <w:tr>
        <w:tc>
          <w:tcPr>
            <w:tcW w:type="dxa" w:w="1500"/>
            <w:shd w:fill="F2F4F7"/>
            <w:vAlign w:val="center"/>
          </w:tcPr>
          <w:p>
            <w:r>
              <w:rPr>
                <w:b/>
                <w:color w:val="1F4D78"/>
              </w:rPr>
              <w:t>Phase</w:t>
            </w:r>
          </w:p>
        </w:tc>
        <w:tc>
          <w:tcPr>
            <w:tcW w:type="dxa" w:w="3900"/>
            <w:shd w:fill="F2F4F7"/>
            <w:vAlign w:val="center"/>
          </w:tcPr>
          <w:p>
            <w:r>
              <w:rPr>
                <w:b/>
                <w:color w:val="1F4D78"/>
              </w:rPr>
              <w:t>Deliverable</w:t>
            </w:r>
          </w:p>
        </w:tc>
        <w:tc>
          <w:tcPr>
            <w:tcW w:type="dxa" w:w="3960"/>
            <w:shd w:fill="F2F4F7"/>
            <w:vAlign w:val="center"/>
          </w:tcPr>
          <w:p>
            <w:r>
              <w:rPr>
                <w:b/>
                <w:color w:val="1F4D78"/>
              </w:rPr>
              <w:t>Gate</w:t>
            </w:r>
          </w:p>
        </w:tc>
      </w:tr>
      <w:tr>
        <w:tc>
          <w:tcPr>
            <w:tcW w:type="dxa" w:w="1500"/>
            <w:vAlign w:val="center"/>
          </w:tcPr>
          <w:p>
            <w:r>
              <w:t>0 Foundation</w:t>
            </w:r>
          </w:p>
        </w:tc>
        <w:tc>
          <w:tcPr>
            <w:tcW w:type="dxa" w:w="3900"/>
            <w:vAlign w:val="center"/>
          </w:tcPr>
          <w:p>
            <w:r>
              <w:t>Project, UI shell, persistence, CI, installer scaffold</w:t>
            </w:r>
          </w:p>
        </w:tc>
        <w:tc>
          <w:tcPr>
            <w:tcW w:type="dxa" w:w="3960"/>
            <w:vAlign w:val="center"/>
          </w:tcPr>
          <w:p>
            <w:r>
              <w:t>Clean setup; lint/type/unit/security checks pass</w:t>
            </w:r>
          </w:p>
        </w:tc>
      </w:tr>
      <w:tr>
        <w:tc>
          <w:tcPr>
            <w:tcW w:type="dxa" w:w="1500"/>
            <w:vAlign w:val="center"/>
          </w:tcPr>
          <w:p>
            <w:r>
              <w:t>1 Corpus</w:t>
            </w:r>
          </w:p>
        </w:tc>
        <w:tc>
          <w:tcPr>
            <w:tcW w:type="dxa" w:w="3900"/>
            <w:vAlign w:val="center"/>
          </w:tcPr>
          <w:p>
            <w:r>
              <w:t>Six-language all-word schema and automated pipeline</w:t>
            </w:r>
          </w:p>
        </w:tc>
        <w:tc>
          <w:tcPr>
            <w:tcW w:type="dxa" w:w="3960"/>
            <w:vAlign w:val="center"/>
          </w:tcPr>
          <w:p>
            <w:r>
              <w:t>30,000 validated production records; reproducible audit</w:t>
            </w:r>
          </w:p>
        </w:tc>
      </w:tr>
      <w:tr>
        <w:tc>
          <w:tcPr>
            <w:tcW w:type="dxa" w:w="1500"/>
            <w:vAlign w:val="center"/>
          </w:tcPr>
          <w:p>
            <w:r>
              <w:t>2 Planning</w:t>
            </w:r>
          </w:p>
        </w:tc>
        <w:tc>
          <w:tcPr>
            <w:tcW w:type="dxa" w:w="3900"/>
            <w:vAlign w:val="center"/>
          </w:tcPr>
          <w:p>
            <w:r>
              <w:t>Row cap, CEFR, type, pronoun, form expansion</w:t>
            </w:r>
          </w:p>
        </w:tc>
        <w:tc>
          <w:tcPr>
            <w:tcW w:type="dxa" w:w="3960"/>
            <w:vAlign w:val="center"/>
          </w:tcPr>
          <w:p>
            <w:r>
              <w:t>Deterministic plans; all totals reconcile</w:t>
            </w:r>
          </w:p>
        </w:tc>
      </w:tr>
      <w:tr>
        <w:tc>
          <w:tcPr>
            <w:tcW w:type="dxa" w:w="1500"/>
            <w:vAlign w:val="center"/>
          </w:tcPr>
          <w:p>
            <w:r>
              <w:t>3 Generation</w:t>
            </w:r>
          </w:p>
        </w:tc>
        <w:tc>
          <w:tcPr>
            <w:tcW w:type="dxa" w:w="3900"/>
            <w:vAlign w:val="center"/>
          </w:tcPr>
          <w:p>
            <w:r>
              <w:t>Providers, prompts, validation, resume, workbook</w:t>
            </w:r>
          </w:p>
        </w:tc>
        <w:tc>
          <w:tcPr>
            <w:tcW w:type="dxa" w:w="3960"/>
            <w:vAlign w:val="center"/>
          </w:tcPr>
          <w:p>
            <w:r>
              <w:t>Contracts and generation/workbook tests pass</w:t>
            </w:r>
          </w:p>
        </w:tc>
      </w:tr>
      <w:tr>
        <w:tc>
          <w:tcPr>
            <w:tcW w:type="dxa" w:w="1500"/>
            <w:vAlign w:val="center"/>
          </w:tcPr>
          <w:p>
            <w:r>
              <w:t>4 TTS</w:t>
            </w:r>
          </w:p>
        </w:tc>
        <w:tc>
          <w:tcPr>
            <w:tcW w:type="dxa" w:w="3900"/>
            <w:vAlign w:val="center"/>
          </w:tcPr>
          <w:p>
            <w:r>
              <w:t>Voices, preview, MP3, recovery</w:t>
            </w:r>
          </w:p>
        </w:tc>
        <w:tc>
          <w:tcPr>
            <w:tcW w:type="dxa" w:w="3960"/>
            <w:vAlign w:val="center"/>
          </w:tcPr>
          <w:p>
            <w:r>
              <w:t>Order, pause, codec, interruption tests pass</w:t>
            </w:r>
          </w:p>
        </w:tc>
      </w:tr>
      <w:tr>
        <w:tc>
          <w:tcPr>
            <w:tcW w:type="dxa" w:w="1500"/>
            <w:vAlign w:val="center"/>
          </w:tcPr>
          <w:p>
            <w:r>
              <w:t>5 History/UI</w:t>
            </w:r>
          </w:p>
        </w:tc>
        <w:tc>
          <w:tcPr>
            <w:tcW w:type="dxa" w:w="3900"/>
            <w:vAlign w:val="center"/>
          </w:tcPr>
          <w:p>
            <w:r>
              <w:t>Safe file actions, themes, accessibility, workers</w:t>
            </w:r>
          </w:p>
        </w:tc>
        <w:tc>
          <w:tcPr>
            <w:tcW w:type="dxa" w:w="3960"/>
            <w:vAlign w:val="center"/>
          </w:tcPr>
          <w:p>
            <w:r>
              <w:t>Path safety and UI state tests pass</w:t>
            </w:r>
          </w:p>
        </w:tc>
      </w:tr>
      <w:tr>
        <w:tc>
          <w:tcPr>
            <w:tcW w:type="dxa" w:w="1500"/>
            <w:vAlign w:val="center"/>
          </w:tcPr>
          <w:p>
            <w:r>
              <w:t>6 Release</w:t>
            </w:r>
          </w:p>
        </w:tc>
        <w:tc>
          <w:tcPr>
            <w:tcW w:type="dxa" w:w="3900"/>
            <w:vAlign w:val="center"/>
          </w:tcPr>
          <w:p>
            <w:r>
              <w:t>Nuitka, FFmpeg, installer, README, notices</w:t>
            </w:r>
          </w:p>
        </w:tc>
        <w:tc>
          <w:tcPr>
            <w:tcW w:type="dxa" w:w="3960"/>
            <w:vAlign w:val="center"/>
          </w:tcPr>
          <w:p>
            <w:r>
              <w:t>Clean Windows 10/11 install and upgrade pass</w:t>
            </w:r>
          </w:p>
        </w:tc>
      </w:tr>
    </w:tbl>
    <w:p>
      <w:pPr>
        <w:pStyle w:val="Heading1"/>
      </w:pPr>
      <w:r>
        <w:t>14. Test strategy</w:t>
      </w:r>
    </w:p>
    <w:tbl>
      <w:tblPr>
        <w:tblStyle w:val="TableGrid"/>
        <w:tblW w:type="dxa" w:w="9360"/>
        <w:jc w:val="center"/>
        <w:tblLayout w:type="fixed"/>
        <w:tblLook w:firstColumn="1" w:firstRow="1" w:lastColumn="0" w:lastRow="0" w:noHBand="0" w:noVBand="1" w:val="04A0"/>
        <w:tblInd w:w="120" w:type="dxa"/>
      </w:tblPr>
      <w:tblGrid>
        <w:gridCol w:w="1500"/>
        <w:gridCol w:w="5700"/>
        <w:gridCol w:w="2160"/>
      </w:tblGrid>
      <w:tr>
        <w:tc>
          <w:tcPr>
            <w:tcW w:type="dxa" w:w="1500"/>
            <w:shd w:fill="F2F4F7"/>
            <w:vAlign w:val="center"/>
          </w:tcPr>
          <w:p>
            <w:r>
              <w:rPr>
                <w:b/>
                <w:color w:val="1F4D78"/>
              </w:rPr>
              <w:t>Layer</w:t>
            </w:r>
          </w:p>
        </w:tc>
        <w:tc>
          <w:tcPr>
            <w:tcW w:type="dxa" w:w="5700"/>
            <w:shd w:fill="F2F4F7"/>
            <w:vAlign w:val="center"/>
          </w:tcPr>
          <w:p>
            <w:r>
              <w:rPr>
                <w:b/>
                <w:color w:val="1F4D78"/>
              </w:rPr>
              <w:t>Measures</w:t>
            </w:r>
          </w:p>
        </w:tc>
        <w:tc>
          <w:tcPr>
            <w:tcW w:type="dxa" w:w="2160"/>
            <w:shd w:fill="F2F4F7"/>
            <w:vAlign w:val="center"/>
          </w:tcPr>
          <w:p>
            <w:r>
              <w:rPr>
                <w:b/>
                <w:color w:val="1F4D78"/>
              </w:rPr>
              <w:t>Cadence</w:t>
            </w:r>
          </w:p>
        </w:tc>
      </w:tr>
      <w:tr>
        <w:tc>
          <w:tcPr>
            <w:tcW w:type="dxa" w:w="1500"/>
            <w:vAlign w:val="center"/>
          </w:tcPr>
          <w:p>
            <w:r>
              <w:t>Unit</w:t>
            </w:r>
          </w:p>
        </w:tc>
        <w:tc>
          <w:tcPr>
            <w:tcW w:type="dxa" w:w="5700"/>
            <w:vAlign w:val="center"/>
          </w:tcPr>
          <w:p>
            <w:r>
              <w:t>Row-limit matrix; allocation; normalization; POS/forms; validators</w:t>
            </w:r>
          </w:p>
        </w:tc>
        <w:tc>
          <w:tcPr>
            <w:tcW w:type="dxa" w:w="2160"/>
            <w:vAlign w:val="center"/>
          </w:tcPr>
          <w:p>
            <w:r>
              <w:t>Every commit</w:t>
            </w:r>
          </w:p>
        </w:tc>
      </w:tr>
      <w:tr>
        <w:tc>
          <w:tcPr>
            <w:tcW w:type="dxa" w:w="1500"/>
            <w:vAlign w:val="center"/>
          </w:tcPr>
          <w:p>
            <w:r>
              <w:t>Corpus</w:t>
            </w:r>
          </w:p>
        </w:tc>
        <w:tc>
          <w:tcPr>
            <w:tcW w:type="dxa" w:w="5700"/>
            <w:vAlign w:val="center"/>
          </w:tcPr>
          <w:p>
            <w:r>
              <w:t>Counts, ranks, keys, translations, forms, licences, hashes, comparisons</w:t>
            </w:r>
          </w:p>
        </w:tc>
        <w:tc>
          <w:tcPr>
            <w:tcW w:type="dxa" w:w="2160"/>
            <w:vAlign w:val="center"/>
          </w:tcPr>
          <w:p>
            <w:r>
              <w:t>Corpus change/release</w:t>
            </w:r>
          </w:p>
        </w:tc>
      </w:tr>
      <w:tr>
        <w:tc>
          <w:tcPr>
            <w:tcW w:type="dxa" w:w="1500"/>
            <w:vAlign w:val="center"/>
          </w:tcPr>
          <w:p>
            <w:r>
              <w:t>Contract</w:t>
            </w:r>
          </w:p>
        </w:tc>
        <w:tc>
          <w:tcPr>
            <w:tcW w:type="dxa" w:w="5700"/>
            <w:vAlign w:val="center"/>
          </w:tcPr>
          <w:p>
            <w:r>
              <w:t>All AI adapters; errors; usage; cancellation; secret redaction</w:t>
            </w:r>
          </w:p>
        </w:tc>
        <w:tc>
          <w:tcPr>
            <w:tcW w:type="dxa" w:w="2160"/>
            <w:vAlign w:val="center"/>
          </w:tcPr>
          <w:p>
            <w:r>
              <w:t>Every pull request</w:t>
            </w:r>
          </w:p>
        </w:tc>
      </w:tr>
      <w:tr>
        <w:tc>
          <w:tcPr>
            <w:tcW w:type="dxa" w:w="1500"/>
            <w:vAlign w:val="center"/>
          </w:tcPr>
          <w:p>
            <w:r>
              <w:t>Integration</w:t>
            </w:r>
          </w:p>
        </w:tc>
        <w:tc>
          <w:tcPr>
            <w:tcW w:type="dxa" w:w="5700"/>
            <w:vAlign w:val="center"/>
          </w:tcPr>
          <w:p>
            <w:r>
              <w:t>Generation resume; XLSX/CSV; SQLite; mocked TTS/FFmpeg</w:t>
            </w:r>
          </w:p>
        </w:tc>
        <w:tc>
          <w:tcPr>
            <w:tcW w:type="dxa" w:w="2160"/>
            <w:vAlign w:val="center"/>
          </w:tcPr>
          <w:p>
            <w:r>
              <w:t>Every pull request</w:t>
            </w:r>
          </w:p>
        </w:tc>
      </w:tr>
      <w:tr>
        <w:tc>
          <w:tcPr>
            <w:tcW w:type="dxa" w:w="1500"/>
            <w:vAlign w:val="center"/>
          </w:tcPr>
          <w:p>
            <w:r>
              <w:t>UI</w:t>
            </w:r>
          </w:p>
        </w:tc>
        <w:tc>
          <w:tcPr>
            <w:tcW w:type="dxa" w:w="5700"/>
            <w:vAlign w:val="center"/>
          </w:tcPr>
          <w:p>
            <w:r>
              <w:t>Dynamic maximum; notice; Italian; tabs/themes; worker states</w:t>
            </w:r>
          </w:p>
        </w:tc>
        <w:tc>
          <w:tcPr>
            <w:tcW w:type="dxa" w:w="2160"/>
            <w:vAlign w:val="center"/>
          </w:tcPr>
          <w:p>
            <w:r>
              <w:t>Every pull request</w:t>
            </w:r>
          </w:p>
        </w:tc>
      </w:tr>
      <w:tr>
        <w:tc>
          <w:tcPr>
            <w:tcW w:type="dxa" w:w="1500"/>
            <w:vAlign w:val="center"/>
          </w:tcPr>
          <w:p>
            <w:r>
              <w:t>E2E</w:t>
            </w:r>
          </w:p>
        </w:tc>
        <w:tc>
          <w:tcPr>
            <w:tcW w:type="dxa" w:w="5700"/>
            <w:vAlign w:val="center"/>
          </w:tcPr>
          <w:p>
            <w:r>
              <w:t>Multi-POS generation and TTS interruption/resume</w:t>
            </w:r>
          </w:p>
        </w:tc>
        <w:tc>
          <w:tcPr>
            <w:tcW w:type="dxa" w:w="2160"/>
            <w:vAlign w:val="center"/>
          </w:tcPr>
          <w:p>
            <w:r>
              <w:t>Nightly/release</w:t>
            </w:r>
          </w:p>
        </w:tc>
      </w:tr>
      <w:tr>
        <w:tc>
          <w:tcPr>
            <w:tcW w:type="dxa" w:w="1500"/>
            <w:vAlign w:val="center"/>
          </w:tcPr>
          <w:p>
            <w:r>
              <w:t>Packaging</w:t>
            </w:r>
          </w:p>
        </w:tc>
        <w:tc>
          <w:tcPr>
            <w:tcW w:type="dxa" w:w="5700"/>
            <w:vAlign w:val="center"/>
          </w:tcPr>
          <w:p>
            <w:r>
              <w:t>Executable, installer, upgrade, uninstall, notices</w:t>
            </w:r>
          </w:p>
        </w:tc>
        <w:tc>
          <w:tcPr>
            <w:tcW w:type="dxa" w:w="2160"/>
            <w:vAlign w:val="center"/>
          </w:tcPr>
          <w:p>
            <w:r>
              <w:t>Release candidate</w:t>
            </w:r>
          </w:p>
        </w:tc>
      </w:tr>
    </w:tbl>
    <w:p>
      <w:pPr>
        <w:pStyle w:val="Heading2"/>
      </w:pPr>
      <w:r>
        <w:t>14.1 Locked row-boundary tests</w:t>
      </w:r>
    </w:p>
    <w:p>
      <w:pPr>
        <w:pStyle w:val="ListBullet"/>
        <w:spacing w:after="160" w:line="280" w:lineRule="auto"/>
        <w:ind w:left="720" w:hanging="360"/>
      </w:pPr>
      <w:r>
        <w:t>5,000×1, 2,500×2, 1,666×3, 1,250×4, and 1,000×5 are accepted.</w:t>
      </w:r>
    </w:p>
    <w:p>
      <w:pPr>
        <w:pStyle w:val="ListBullet"/>
        <w:spacing w:after="160" w:line="280" w:lineRule="auto"/>
        <w:ind w:left="720" w:hanging="360"/>
      </w:pPr>
      <w:r>
        <w:t>The next base value in each mode is rejected when final rows would exceed 5,000.</w:t>
      </w:r>
    </w:p>
    <w:p>
      <w:pPr>
        <w:pStyle w:val="ListBullet"/>
        <w:spacing w:after="160" w:line="280" w:lineRule="auto"/>
        <w:ind w:left="720" w:hanging="360"/>
      </w:pPr>
      <w:r>
        <w:t>Changing extra forms immediately clamps the base maximum without changing the selected form value.</w:t>
      </w:r>
    </w:p>
    <w:p>
      <w:pPr>
        <w:pStyle w:val="ListBullet"/>
        <w:spacing w:after="160" w:line="280" w:lineRule="auto"/>
        <w:ind w:left="720" w:hanging="360"/>
      </w:pPr>
      <w:r>
        <w:t>Imports above 5,000 rows are rejected with a clear message.</w:t>
      </w:r>
    </w:p>
    <w:p>
      <w:pPr>
        <w:pStyle w:val="Heading2"/>
      </w:pPr>
      <w:r>
        <w:t>14.2 Locked linguistic/structural tests</w:t>
      </w:r>
    </w:p>
    <w:p>
      <w:pPr>
        <w:pStyle w:val="ListBullet"/>
        <w:spacing w:after="160" w:line="280" w:lineRule="auto"/>
        <w:ind w:left="720" w:hanging="360"/>
      </w:pPr>
      <w:r>
        <w:t>All six corpora contain 5,000 entries with contiguous ranks, unique words, POS/form fallback, source, licence, and automated status.</w:t>
      </w:r>
    </w:p>
    <w:p>
      <w:pPr>
        <w:pStyle w:val="ListBullet"/>
        <w:spacing w:after="160" w:line="280" w:lineRule="auto"/>
        <w:ind w:left="720" w:hanging="360"/>
      </w:pPr>
      <w:r>
        <w:t>Fixtures cover verbs, nouns, adjectives, adverbs, pronouns/determiners, conjunctions/prepositions, and invariant words.</w:t>
      </w:r>
    </w:p>
    <w:p>
      <w:pPr>
        <w:pStyle w:val="ListBullet"/>
        <w:spacing w:after="160" w:line="280" w:lineRule="auto"/>
        <w:ind w:left="720" w:hanging="360"/>
      </w:pPr>
      <w:r>
        <w:t>Every accepted sentence contains its declared word form; form/variant metadata matches the plan.</w:t>
      </w:r>
    </w:p>
    <w:p>
      <w:pPr>
        <w:pStyle w:val="ListBullet"/>
        <w:spacing w:after="160" w:line="280" w:lineRule="auto"/>
        <w:ind w:left="720" w:hanging="360"/>
      </w:pPr>
      <w:r>
        <w:t>CEFR, question/statement, and pronoun allocations reconcile; UTF-8 workbook round-trips preserve text.</w:t>
      </w:r>
    </w:p>
    <w:p>
      <w:pPr>
        <w:pStyle w:val="ListBullet"/>
        <w:spacing w:after="160" w:line="280" w:lineRule="auto"/>
        <w:ind w:left="720" w:hanging="360"/>
      </w:pPr>
      <w:r>
        <w:t>New headers export exactly; old verb headers import; Excel opens without repair.</w:t>
      </w:r>
    </w:p>
    <w:p>
      <w:pPr>
        <w:pStyle w:val="Heading1"/>
      </w:pPr>
      <w:r>
        <w:t>15. Release acceptance</w:t>
      </w:r>
    </w:p>
    <w:p>
      <w:pPr>
        <w:pStyle w:val="ListBullet"/>
        <w:spacing w:after="160" w:line="280" w:lineRule="auto"/>
        <w:ind w:left="720" w:hanging="360"/>
      </w:pPr>
      <w:r>
        <w:t>☒ Six languages and 30,000 production records pass the automated corpus gate.</w:t>
      </w:r>
    </w:p>
    <w:p>
      <w:pPr>
        <w:pStyle w:val="ListBullet"/>
        <w:spacing w:after="160" w:line="280" w:lineRule="auto"/>
        <w:ind w:left="720" w:hanging="360"/>
      </w:pPr>
      <w:r>
        <w:t>☒ No configuration exceeds 5,000 rows; POS-aware and invariant form paths pass.</w:t>
      </w:r>
    </w:p>
    <w:p>
      <w:pPr>
        <w:pStyle w:val="ListBullet"/>
        <w:spacing w:after="160" w:line="280" w:lineRule="auto"/>
        <w:ind w:left="720" w:hanging="360"/>
      </w:pPr>
      <w:r>
        <w:t>☒ All provider, generation, workbook, TTS recovery, history safety, UI, security, and performance gates pass.</w:t>
      </w:r>
    </w:p>
    <w:p>
      <w:pPr>
        <w:pStyle w:val="ListBullet"/>
        <w:spacing w:after="160" w:line="280" w:lineRule="auto"/>
        <w:ind w:left="720" w:hanging="360"/>
      </w:pPr>
      <w:r>
        <w:t>☒ Clean Windows 10/11 machines install and run without separate Python, Qt, or FFmpeg downloads.</w:t>
      </w:r>
    </w:p>
    <w:p>
      <w:pPr>
        <w:pStyle w:val="ListBullet"/>
        <w:spacing w:after="160" w:line="280" w:lineRule="auto"/>
        <w:ind w:left="720" w:hanging="360"/>
      </w:pPr>
      <w:r>
        <w:t>☒ README, source notices, licence inventory, release notes, checksum, and provenance are included.</w:t>
      </w:r>
    </w:p>
    <w:p>
      <w:pPr>
        <w:pStyle w:val="ListBullet"/>
        <w:spacing w:after="160" w:line="280" w:lineRule="auto"/>
        <w:ind w:left="720" w:hanging="360"/>
      </w:pPr>
      <w:r>
        <w:t>☒ No critical/high defect or failing required check remains; release automation applies Authenticode signing whenever protected publisher certificate secrets are configured.</w:t>
      </w:r>
    </w:p>
    <w:p>
      <w:pPr>
        <w:pStyle w:val="Heading1"/>
      </w:pPr>
      <w:r>
        <w:t>16. Current implementation status</w:t>
      </w:r>
    </w:p>
    <w:p>
      <w:pPr>
        <w:spacing w:after="120" w:line="264" w:lineRule="auto"/>
      </w:pPr>
      <w:r>
        <w:t>Version 1.0.0 is the completed production release. It includes the six-language all-word model, 5,000 ranked words per language, Italian, generalized forms, dynamic 5,000-row limits, neutral and controlled subject variation, resilient provider/TTS workflows, backward-compatible workbook import, and the verified Windows installer. Quality, Tests, corpus validation, clean Windows 10/11 acceptance, packaging, checksum, provenance, upgrade, uninstall, and user-data preservation gates are complete. Tag-driven GitHub release automation publishes the installer and portable archive; Authenticode signing remains automatic when the repository's protected certificate secrets are configured.</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 xml:space="preserve">Easy Language Learning Tool · Project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