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##: Estimated canopy closure in days after sowing (DAS) and the mean
difference to the non-inoculated sentinal-2 data (intercept). 
P values indicate statistical significance in comparison to the intercept.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1"/>
        <w:gridCol w:w="1189"/>
        <w:gridCol w:w="1266"/>
        <w:gridCol w:w="1020"/>
      </w:tblGrid>
      <w:tr>
        <w:trPr>
          <w:trHeight w:val="59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Pr(&gt;|t|)</w:t>
            </w:r>
          </w:p>
        </w:tc>
      </w:tr>
      <w:tr>
        <w:trPr>
          <w:trHeight w:val="55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92.07300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5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Super S2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88.84503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78.46103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28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Inoculated Area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96.60803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2025-12-06T16:43:53Z</dcterms:modified>
  <cp:category/>
</cp:coreProperties>
</file>