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##: Estimated epidemic onset in days after sowing (DAS) and the mean
difference to the non-inoculated observed epidemic onset days (intercept). 
P values indicate statistical significance in comparison to the intercept.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58"/>
        <w:gridCol w:w="1189"/>
        <w:gridCol w:w="1266"/>
        <w:gridCol w:w="1020"/>
      </w:tblGrid>
      <w:tr>
        <w:trPr>
          <w:trHeight w:val="59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Pr(&gt;|t|)</w:t>
            </w:r>
          </w:p>
        </w:tc>
      </w:tr>
      <w:tr>
        <w:trPr>
          <w:trHeight w:val="55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156.908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5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Sentinal-2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55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Super Sentinal-2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5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5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Observed : Inoculated 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52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S2 : Inoculated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559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Super S2 : Inoculated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116.892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529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UAS : Inoculated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106.658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2025-12-10T10:21:08Z</dcterms:modified>
  <cp:category/>
</cp:coreProperties>
</file>