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hd w:val="clear" w:fill="FFFFFF"/>
        <w:spacing w:lineRule="auto" w:line="360" w:before="0" w:after="60"/>
        <w:ind w:firstLine="0" w:left="0" w:right="0"/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highlight w:val="white"/>
          <w:shd w:val="clear" w:color="auto" w:fill="181818"/>
        </w:rPr>
      </w:pPr>
      <w:bookmarkStart w:id="0" w:name="_dx_frag_StartFragment"/>
      <w:bookmarkEnd w:id="0"/>
      <w:r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szCs w:val="21"/>
          <w:highlight w:val="white"/>
          <w:shd w:val="clear" w:color="auto" w:fill="181818"/>
        </w:rPr>
        <w:t>Here's a summary of what you've accomplished:</w:t>
      </w:r>
    </w:p>
    <w:p>
      <w:pPr>
        <w:numPr>
          <w:ilvl w:val="0"/>
          <w:numId w:val="1"/>
        </w:numPr>
        <w:shd w:val="clear" w:fill="FFFFFF"/>
        <w:spacing w:lineRule="auto" w:line="360" w:before="0" w:after="0"/>
        <w:ind w:hanging="360" w:left="720" w:right="0"/>
        <w:rPr>
          <w:rFonts w:ascii="Segoe WPC" w:hAnsi="Segoe WPC" w:cs="Segoe WPC" w:eastAsia="Segoe WPC"/>
          <w:b w:val="0"/>
          <w:i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Successfully synchronized your local migrations with the remote database</w:t>
      </w:r>
    </w:p>
    <w:p>
      <w:pPr>
        <w:numPr>
          <w:ilvl w:val="0"/>
          <w:numId w:val="1"/>
        </w:numPr>
        <w:shd w:val="clear" w:fill="FFFFFF"/>
        <w:spacing w:lineRule="auto" w:line="360" w:before="0" w:after="0"/>
        <w:ind w:hanging="360" w:left="72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Created a comprehensive </w:t>
      </w:r>
      <w:r>
        <w:rPr>
          <w:rFonts w:ascii="SF Mono" w:hAnsi="SF Mono" w:cs="SF Mono" w:eastAsia="SF Mono"/>
          <w:b w:val="1"/>
          <w:i w:val="0"/>
          <w:color w:val="000000"/>
          <w:sz w:val="18"/>
          <w:szCs w:val="21"/>
          <w:highlight w:val="white"/>
          <w:shd w:val="clear" w:color="auto" w:fill="181818"/>
        </w:rPr>
        <w:t>DATABASE_SCHEMA.md</w:t>
      </w: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 document that captures:</w:t>
      </w:r>
    </w:p>
    <w:p>
      <w:pPr>
        <w:numPr>
          <w:ilvl w:val="1"/>
          <w:numId w:val="1"/>
        </w:numPr>
        <w:shd w:val="clear" w:fill="FFFFFF"/>
        <w:spacing w:lineRule="auto" w:line="360" w:before="0" w:after="0"/>
        <w:ind w:hanging="360" w:left="144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Table structures</w:t>
      </w:r>
    </w:p>
    <w:p>
      <w:pPr>
        <w:numPr>
          <w:ilvl w:val="1"/>
          <w:numId w:val="1"/>
        </w:numPr>
        <w:shd w:val="clear" w:fill="FFFFFF"/>
        <w:spacing w:lineRule="auto" w:line="360" w:before="0" w:after="0"/>
        <w:ind w:hanging="360" w:left="144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Roles and their permissions</w:t>
      </w:r>
    </w:p>
    <w:p>
      <w:pPr>
        <w:numPr>
          <w:ilvl w:val="1"/>
          <w:numId w:val="1"/>
        </w:numPr>
        <w:shd w:val="clear" w:fill="FFFFFF"/>
        <w:spacing w:lineRule="auto" w:line="360" w:before="0" w:after="0"/>
        <w:ind w:hanging="360" w:left="144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Security configurations</w:t>
      </w:r>
    </w:p>
    <w:p>
      <w:pPr>
        <w:numPr>
          <w:ilvl w:val="1"/>
          <w:numId w:val="1"/>
        </w:numPr>
        <w:shd w:val="clear" w:fill="FFFFFF"/>
        <w:spacing w:lineRule="auto" w:line="360" w:before="0" w:after="0"/>
        <w:ind w:hanging="360" w:left="144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Database extensions</w:t>
      </w:r>
    </w:p>
    <w:p>
      <w:pPr>
        <w:numPr>
          <w:ilvl w:val="1"/>
          <w:numId w:val="1"/>
        </w:numPr>
        <w:shd w:val="clear" w:fill="FFFFFF"/>
        <w:spacing w:lineRule="auto" w:line="360" w:before="0" w:after="0"/>
        <w:ind w:hanging="360" w:left="1440" w:right="0"/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Recommended next steps</w:t>
      </w:r>
    </w:p>
    <w:p>
      <w:pPr>
        <w:shd w:val="clear" w:fill="FFFFFF"/>
        <w:spacing w:lineRule="auto" w:line="360" w:before="50" w:after="60"/>
        <w:ind w:firstLine="0" w:left="0" w:right="0"/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szCs w:val="21"/>
          <w:highlight w:val="white"/>
          <w:shd w:val="clear" w:color="auto" w:fill="181818"/>
        </w:rPr>
        <w:t>When you want to resume development, you can:</w:t>
      </w:r>
    </w:p>
    <w:p>
      <w:pPr>
        <w:numPr>
          <w:ilvl w:val="0"/>
          <w:numId w:val="2"/>
        </w:numPr>
        <w:shd w:val="clear" w:fill="FFFFFF"/>
        <w:spacing w:before="0" w:after="0"/>
        <w:ind w:hanging="360" w:left="720" w:right="0"/>
        <w:rPr>
          <w:rFonts w:ascii="Segoe WPC" w:hAnsi="Segoe WPC" w:cs="Segoe WPC" w:eastAsia="Segoe WPC"/>
          <w:b w:val="0"/>
          <w:i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Reference the </w:t>
      </w:r>
      <w:r>
        <w:rPr>
          <w:rFonts w:ascii="SF Mono" w:hAnsi="SF Mono" w:cs="SF Mono" w:eastAsia="SF Mono"/>
          <w:b w:val="1"/>
          <w:i w:val="0"/>
          <w:color w:val="000000"/>
          <w:sz w:val="18"/>
          <w:szCs w:val="21"/>
          <w:highlight w:val="white"/>
          <w:shd w:val="clear" w:color="auto" w:fill="181818"/>
        </w:rPr>
        <w:t>DATABASE_SCHEMA.md</w:t>
      </w: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 for a quick overview</w:t>
      </w:r>
    </w:p>
    <w:p>
      <w:pPr>
        <w:numPr>
          <w:ilvl w:val="0"/>
          <w:numId w:val="2"/>
        </w:numPr>
        <w:shd w:val="clear" w:fill="FFFFFF"/>
        <w:spacing w:before="0" w:after="0"/>
        <w:ind w:hanging="360" w:left="720" w:right="0"/>
        <w:rPr>
          <w:rFonts w:ascii="Segoe WPC" w:hAnsi="Segoe WPC" w:cs="Segoe WPC" w:eastAsia="Segoe WPC"/>
          <w:b w:val="0"/>
          <w:i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Use the existing migration file </w:t>
      </w:r>
      <w:r>
        <w:rPr>
          <w:rFonts w:ascii="SF Mono" w:hAnsi="SF Mono" w:cs="SF Mono" w:eastAsia="SF Mono"/>
          <w:b w:val="1"/>
          <w:i w:val="0"/>
          <w:color w:val="000000"/>
          <w:sz w:val="18"/>
          <w:szCs w:val="21"/>
          <w:highlight w:val="white"/>
          <w:shd w:val="clear" w:color="auto" w:fill="181818"/>
        </w:rPr>
        <w:t>20250228141318_remote_schema.sql</w:t>
      </w:r>
    </w:p>
    <w:p>
      <w:pPr>
        <w:numPr>
          <w:ilvl w:val="0"/>
          <w:numId w:val="2"/>
        </w:numPr>
        <w:shd w:val="clear" w:fill="FFFFFF"/>
        <w:spacing w:before="0" w:after="0"/>
        <w:ind w:hanging="360" w:left="720" w:right="0"/>
        <w:rPr>
          <w:rFonts w:ascii="Segoe WPC" w:hAnsi="Segoe WPC" w:cs="Segoe WPC" w:eastAsia="Segoe WPC"/>
          <w:b w:val="0"/>
          <w:i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Continue working with the current Supabase configuration</w:t>
      </w:r>
    </w:p>
    <w:p>
      <w:pPr>
        <w:shd w:val="clear" w:fill="FFFFFF"/>
        <w:spacing w:lineRule="auto" w:line="360" w:before="50" w:after="60"/>
        <w:ind w:firstLine="0" w:left="0" w:right="0"/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highlight w:val="white"/>
          <w:shd w:val="clear" w:color="auto" w:fill="181818"/>
        </w:rPr>
      </w:pPr>
      <w:r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szCs w:val="21"/>
          <w:highlight w:val="white"/>
          <w:shd w:val="clear" w:color="auto" w:fill="181818"/>
        </w:rPr>
        <w:t>To pick up from this point in the future, you'll simply: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400" w:before="50" w:after="0"/>
        <w:ind w:firstLine="0" w:left="0" w:right="0"/>
        <w:outlineLvl w:val="9"/>
        <w:rPr>
          <w:rFonts w:ascii="ui-sans-serif" w:hAnsi="ui-sans-serif" w:cs="ui-sans-serif" w:eastAsia="ui-sans-serif"/>
          <w:b w:val="0"/>
          <w:i w:val="0"/>
          <w:color w:val="000000"/>
          <w:sz w:val="14"/>
          <w:highlight w:val="white"/>
          <w:shd w:val="clear" w:color="auto" w:fill="181818"/>
        </w:rPr>
      </w:pPr>
      <w:r>
        <w:rPr>
          <w:rFonts w:ascii="ui-sans-serif" w:hAnsi="ui-sans-serif" w:cs="ui-sans-serif" w:eastAsia="ui-sans-serif"/>
          <w:b w:val="0"/>
          <w:i w:val="0"/>
          <w:color w:val="000000"/>
          <w:sz w:val="14"/>
          <w:szCs w:val="14"/>
          <w:highlight w:val="white"/>
          <w:shd w:val="clear" w:color="auto" w:fill="181818"/>
        </w:rPr>
        <w:t>bash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400" w:before="50" w:after="0"/>
        <w:ind w:firstLine="0" w:left="0" w:right="0"/>
        <w:outlineLvl w:val="9"/>
        <w:rPr>
          <w:rFonts w:ascii="SF Mono" w:hAnsi="SF Mono" w:cs="SF Mono" w:eastAsia="SF Mono"/>
          <w:b w:val="0"/>
          <w:i w:val="0"/>
          <w:color w:val="000000"/>
          <w:sz w:val="21"/>
          <w:highlight w:val="white"/>
          <w:shd w:val="clear" w:color="auto" w:fill="181818"/>
        </w:rPr>
      </w:pPr>
      <w:r>
        <w:rPr>
          <w:rFonts w:ascii="SF Mono" w:hAnsi="SF Mono" w:cs="SF Mono" w:eastAsia="SF Mono"/>
          <w:b w:val="0"/>
          <w:i w:val="0"/>
          <w:color w:val="000000"/>
          <w:sz w:val="21"/>
          <w:szCs w:val="21"/>
          <w:highlight w:val="white"/>
          <w:shd w:val="clear" w:color="auto" w:fill="181818"/>
        </w:rPr>
        <w:t>CopyInsert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0" w:left="0" w:right="0"/>
        <w:jc w:val="left"/>
        <w:outlineLvl w:val="9"/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</w:pPr>
      <w:r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  <w:t># Verify project link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0" w:left="0" w:right="0"/>
        <w:jc w:val="left"/>
        <w:outlineLvl w:val="9"/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</w:pPr>
      <w:r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  <w:t>supabase link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0" w:left="0" w:right="0"/>
        <w:jc w:val="left"/>
        <w:outlineLvl w:val="9"/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0" w:left="0" w:right="0"/>
        <w:jc w:val="left"/>
        <w:outlineLvl w:val="9"/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</w:pPr>
      <w:r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  <w:t># Check migration status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0" w:left="0" w:right="0"/>
        <w:jc w:val="left"/>
        <w:outlineLvl w:val="9"/>
        <w:rPr>
          <w:rFonts w:ascii="Menlo" w:hAnsi="Menlo" w:cs="Menlo" w:eastAsia="Menlo"/>
          <w:b w:val="0"/>
          <w:i w:val="0"/>
          <w:color w:val="000000"/>
          <w:sz w:val="20"/>
          <w:highlight w:val="white"/>
          <w:shd w:val="clear" w:color="auto" w:fill="1E1E1E"/>
        </w:rPr>
      </w:pPr>
      <w:r>
        <w:rPr>
          <w:rFonts w:ascii="inherit" w:hAnsi="inherit" w:cs="inherit" w:eastAsia="inherit"/>
          <w:b w:val="0"/>
          <w:i w:val="0"/>
          <w:color w:val="000000"/>
          <w:sz w:val="15"/>
          <w:szCs w:val="15"/>
          <w:highlight w:val="white"/>
        </w:rPr>
        <w:t>supabase migration list</w:t>
      </w:r>
    </w:p>
    <w:p>
      <w:pPr>
        <w:shd w:val="clear" w:fill="FFFFFF"/>
        <w:rPr>
          <w:color w:val="000000"/>
          <w:highlight w:val="white"/>
        </w:rPr>
      </w:pPr>
      <w:r>
        <w:rPr>
          <w:rFonts w:ascii="Segoe WPC" w:hAnsi="Segoe WPC" w:cs="Segoe WPC" w:eastAsia="Segoe WPC"/>
          <w:b w:val="0"/>
          <w:i w:val="0"/>
          <w:vanish w:val="0"/>
          <w:color w:val="000000"/>
          <w:sz w:val="21"/>
          <w:szCs w:val="21"/>
          <w:highlight w:val="white"/>
          <w:shd w:val="clear" w:color="auto" w:fill="181818"/>
        </w:rPr>
        <w:t>Is there anything else you'd like me to</w:t>
      </w:r>
      <w:bookmarkStart w:id="1" w:name="_dx_frag_EndFragment"/>
      <w:bookmarkEnd w:id="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A59E147"/>
    <w:multiLevelType w:val="hybridMultilevel"/>
    <w:lvl w:ilvl="0" w:tplc="6357738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F80E0A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6B816A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36F621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C5C608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DD9AC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4ACD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5983F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7665C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41D8126F"/>
    <w:multiLevelType w:val="hybridMultilevel"/>
    <w:lvl w:ilvl="0" w:tplc="26C61A5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0BF4CD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6A86CA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B92FF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C8673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9259A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EFFD6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D4728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828F33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James Christopher Kenneally</dc:creator>
  <dcterms:created xsi:type="dcterms:W3CDTF">2025-02-28T14:23:35Z</dcterms:created>
  <cp:lastModifiedBy>James Christopher Kenneally</cp:lastModifiedBy>
  <dcterms:modified xsi:type="dcterms:W3CDTF">2025-02-28T14:23:35Z</dcterms:modified>
  <cp:revision>1</cp:revision>
</cp:coreProperties>
</file>