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232323"/>
          <w:sz w:val="52"/>
          <w:szCs w:val="52"/>
        </w:rPr>
        <w:t xml:space="preserve">Seeing Inside Molten Salt</w:t>
      </w:r>
    </w:p>
    <w:p>
      <w:pPr>
        <w:spacing w:after="60"/>
      </w:pPr>
      <w:r>
        <w:rPr>
          <w:rFonts w:ascii="Cambria" w:cs="Cambria" w:eastAsia="Cambria" w:hAnsi="Cambria"/>
          <w:i/>
          <w:iCs/>
          <w:color w:val="6B6B6B"/>
          <w:sz w:val="26"/>
          <w:szCs w:val="26"/>
        </w:rPr>
        <w:t xml:space="preserve">How we taught a model to read the interior temperature profile from an IR camera and a single probe</w:t>
      </w:r>
    </w:p>
    <w:p>
      <w:pPr>
        <w:pBdr>
          <w:bottom w:val="single" w:color="B34725" w:sz="8"/>
        </w:pBdr>
        <w:spacing w:after="320"/>
      </w:pPr>
      <w:r>
        <w:rPr>
          <w:color w:val="6B6B6B"/>
          <w:sz w:val="20"/>
          <w:szCs w:val="20"/>
        </w:rPr>
        <w:t xml:space="preserve">Project summary · July 2026</w:t>
      </w:r>
    </w:p>
    <w:p>
      <w:pPr>
        <w:pStyle w:val="Heading1"/>
        <w:spacing w:after="160" w:before="360"/>
      </w:pPr>
      <w:r>
        <w:rPr>
          <w:rFonts w:ascii="Calibri" w:cs="Calibri" w:eastAsia="Calibri" w:hAnsi="Calibri"/>
          <w:b/>
          <w:bCs/>
          <w:color w:val="B34725"/>
          <w:sz w:val="30"/>
          <w:szCs w:val="30"/>
        </w:rPr>
        <w:t xml:space="preserve">1.  What we were trying to do</w:t>
      </w:r>
    </w:p>
    <w:p>
      <w:pPr>
        <w:spacing w:after="160" w:line="300"/>
      </w:pPr>
      <w:r>
        <w:rPr>
          <w:rFonts w:ascii="Calibri" w:cs="Calibri" w:eastAsia="Calibri" w:hAnsi="Calibri"/>
          <w:color w:val="232323"/>
          <w:sz w:val="22"/>
          <w:szCs w:val="22"/>
        </w:rPr>
        <w:t xml:space="preserve">In our experiment, salt is melted in a dish and heated from above while a vertical stick of ten thermocouples (TC1 at the bottom up to TC10 at the surface) measures the temperature at every depth. That stick is the problem. It works beautifully in the lab, but in an industrial setting you cannot always push a rake of probes into the middle of a hot process.</w:t>
      </w:r>
    </w:p>
    <w:p>
      <w:pPr>
        <w:spacing w:after="160" w:line="300"/>
      </w:pPr>
      <w:r>
        <w:rPr>
          <w:rFonts w:ascii="Calibri" w:cs="Calibri" w:eastAsia="Calibri" w:hAnsi="Calibri"/>
          <w:color w:val="232323"/>
          <w:sz w:val="22"/>
          <w:szCs w:val="22"/>
        </w:rPr>
        <w:t xml:space="preserve">So the goal was simple to say and hard to do: </w:t>
      </w:r>
      <w:r>
        <w:rPr>
          <w:rFonts w:ascii="Calibri" w:cs="Calibri" w:eastAsia="Calibri" w:hAnsi="Calibri"/>
          <w:b/>
          <w:bCs/>
          <w:color w:val="232323"/>
          <w:sz w:val="22"/>
          <w:szCs w:val="22"/>
        </w:rPr>
        <w:t xml:space="preserve">replace the stick with a camera.</w:t>
      </w:r>
      <w:r>
        <w:rPr>
          <w:rFonts w:ascii="Calibri" w:cs="Calibri" w:eastAsia="Calibri" w:hAnsi="Calibri"/>
          <w:color w:val="232323"/>
          <w:sz w:val="22"/>
          <w:szCs w:val="22"/>
        </w:rPr>
        <w:t xml:space="preserve"> Keep only the bottom probe (TC1), point an infrared camera down at the surface, and have software reconstruct the temperatures at every depth in between — as if the stick were still there.</w:t>
      </w:r>
    </w:p>
    <w:p>
      <w:pPr>
        <w:pStyle w:val="Heading1"/>
        <w:spacing w:after="160" w:before="360"/>
      </w:pPr>
      <w:r>
        <w:rPr>
          <w:rFonts w:ascii="Calibri" w:cs="Calibri" w:eastAsia="Calibri" w:hAnsi="Calibri"/>
          <w:b/>
          <w:bCs/>
          <w:color w:val="B34725"/>
          <w:sz w:val="30"/>
          <w:szCs w:val="30"/>
        </w:rPr>
        <w:t xml:space="preserve">2.  The journey to a usable dataset</w:t>
      </w:r>
    </w:p>
    <w:p>
      <w:pPr>
        <w:spacing w:after="160" w:line="300"/>
      </w:pPr>
      <w:r>
        <w:rPr>
          <w:rFonts w:ascii="Calibri" w:cs="Calibri" w:eastAsia="Calibri" w:hAnsi="Calibri"/>
          <w:color w:val="232323"/>
          <w:sz w:val="22"/>
          <w:szCs w:val="22"/>
        </w:rPr>
        <w:t xml:space="preserve">Most of this project was not model-building. It was turning two awkward piles of raw data into one clean, trustworthy table. That order of priorities is deliberate: a model is only ever as good as the data it learns from.</w:t>
      </w:r>
    </w:p>
    <w:p>
      <w:pPr>
        <w:pStyle w:val="Heading2"/>
        <w:spacing w:after="120" w:before="240"/>
      </w:pPr>
      <w:r>
        <w:rPr>
          <w:rFonts w:ascii="Calibri" w:cs="Calibri" w:eastAsia="Calibri" w:hAnsi="Calibri"/>
          <w:b/>
          <w:bCs/>
          <w:color w:val="232323"/>
          <w:sz w:val="24"/>
          <w:szCs w:val="24"/>
        </w:rPr>
        <w:t xml:space="preserve">2.1  Taming 600 GB of camera footage</w:t>
      </w:r>
    </w:p>
    <w:p>
      <w:pPr>
        <w:spacing w:after="160" w:line="300"/>
      </w:pPr>
      <w:r>
        <w:rPr>
          <w:rFonts w:ascii="Calibri" w:cs="Calibri" w:eastAsia="Calibri" w:hAnsi="Calibri"/>
          <w:color w:val="232323"/>
          <w:sz w:val="22"/>
          <w:szCs w:val="22"/>
        </w:rPr>
        <w:t xml:space="preserve">The IR camera records thirty pictures per second in FLIR's private format — raw brightness counts, not temperatures — and our archive of runs came to roughly 600 GB sitting on another PC. We wrote a converter that reads the format directly, applies the physics formula (using the calibration constants the camera stores inside every frame) to turn brightness into degrees Celsius, and averages every thirty frames into one frame per second. The salt changes slowly, so those thirty frames are near-duplicates; averaging them loses nothing and actually cancels sensor noise.</w:t>
      </w:r>
    </w:p>
    <w:p>
      <w:pPr>
        <w:spacing w:after="160" w:line="300"/>
      </w:pPr>
      <w:r>
        <w:rPr>
          <w:rFonts w:ascii="Calibri" w:cs="Calibri" w:eastAsia="Calibri" w:hAnsi="Calibri"/>
          <w:color w:val="232323"/>
          <w:sz w:val="22"/>
          <w:szCs w:val="22"/>
        </w:rPr>
        <w:t xml:space="preserve">Stored compactly, 600 GB became about 15 GB of tidy files, one per run, which we processed remotely on the other PC overnight and carried across. Along the way we discovered the camera's internal clock had never been set (it believed the year was 1999), which meant timing would have to come from the experiment log rather than the files — a small detail that shaped everything about how we aligned the data later.</w:t>
      </w:r>
    </w:p>
    <w:p>
      <w:pPr>
        <w:pStyle w:val="Heading2"/>
        <w:spacing w:after="120" w:before="240"/>
      </w:pPr>
      <w:r>
        <w:rPr>
          <w:rFonts w:ascii="Calibri" w:cs="Calibri" w:eastAsia="Calibri" w:hAnsi="Calibri"/>
          <w:b/>
          <w:bCs/>
          <w:color w:val="232323"/>
          <w:sz w:val="24"/>
          <w:szCs w:val="24"/>
        </w:rPr>
        <w:t xml:space="preserve">2.2  Cleaning the thermocouple files</w:t>
      </w:r>
    </w:p>
    <w:p>
      <w:pPr>
        <w:spacing w:after="160" w:line="300"/>
      </w:pPr>
      <w:r>
        <w:rPr>
          <w:rFonts w:ascii="Calibri" w:cs="Calibri" w:eastAsia="Calibri" w:hAnsi="Calibri"/>
          <w:color w:val="232323"/>
          <w:sz w:val="22"/>
          <w:szCs w:val="22"/>
        </w:rPr>
        <w:t xml:space="preserve">The probe data lived in 38 Excel workbooks with inconsistent column names. We standardised each into a plain table: the bottom groove sensor became TC1 everywhere, TC2 through TC10 were kept as the profile, and the five runs with a high absorber setting kept their extra probe, TC9.5. Two trims mattered just as much as the renaming. We removed everything before the run actually started (the start second is recorded in each filename), and we removed the cool-down tail at the end — detected as the moment every probe has passed its peak and is falling together. Feed a model the warm-up fiddling and the cool-down, and it will faithfully learn physics you do not care about.</w:t>
      </w:r>
    </w:p>
    <w:p>
      <w:pPr>
        <w:pStyle w:val="Heading2"/>
        <w:spacing w:after="120" w:before="240"/>
      </w:pPr>
      <w:r>
        <w:rPr>
          <w:rFonts w:ascii="Calibri" w:cs="Calibri" w:eastAsia="Calibri" w:hAnsi="Calibri"/>
          <w:b/>
          <w:bCs/>
          <w:color w:val="232323"/>
          <w:sz w:val="24"/>
          <w:szCs w:val="24"/>
        </w:rPr>
        <w:t xml:space="preserve">2.3  Marrying camera and probes</w:t>
      </w:r>
    </w:p>
    <w:p>
      <w:pPr>
        <w:spacing w:after="160" w:line="300"/>
      </w:pPr>
      <w:r>
        <w:rPr>
          <w:rFonts w:ascii="Calibri" w:cs="Calibri" w:eastAsia="Calibri" w:hAnsi="Calibri"/>
          <w:color w:val="232323"/>
          <w:sz w:val="22"/>
          <w:szCs w:val="22"/>
        </w:rPr>
        <w:t xml:space="preserve">With both sides clean and trimmed to the same window, we checked the alignment rather than assuming it: the camera's surface reading should rise and fall in lockstep with TC10, the surface probe. Across 36 of 38 runs the correlation was about 0.97 — essentially perfect — and the one run that disagreed badly was excluded rather than papered over.</w:t>
      </w:r>
    </w:p>
    <w:p>
      <w:pPr>
        <w:spacing w:after="160" w:line="300"/>
      </w:pPr>
      <w:r>
        <w:rPr>
          <w:rFonts w:ascii="Calibri" w:cs="Calibri" w:eastAsia="Calibri" w:hAnsi="Calibri"/>
          <w:color w:val="232323"/>
          <w:sz w:val="22"/>
          <w:szCs w:val="22"/>
        </w:rPr>
        <w:t xml:space="preserve">The camera also moved slightly between runs, so the code finds the glowing dish in each image automatically, then compresses every frame into eight meaningful numbers: the temperature near the probe stick, the typical surface temperature, the hot rim, the spread, and so on. This step is a quiet act of humility. With only 38 runs, a big network fed raw 300,000-pixel images would simply memorise the runs; eight physically meaningful numbers force it to learn relationships instead.</w:t>
      </w:r>
    </w:p>
    <w:p>
      <w:pPr>
        <w:spacing w:after="160" w:line="300"/>
      </w:pPr>
      <w:r>
        <w:rPr>
          <w:rFonts w:ascii="Calibri" w:cs="Calibri" w:eastAsia="Calibri" w:hAnsi="Calibri"/>
          <w:color w:val="232323"/>
          <w:sz w:val="22"/>
          <w:szCs w:val="22"/>
        </w:rPr>
        <w:t xml:space="preserve">One genuine discovery fell out of this: runs using a surfactant read about 130 degrees “colder” on camera. The salt is not colder — the surfactant changes how the surface glows (its emissivity), which fools an IR camera. Because the model is told whether surfactant was used, it learns to compensate automatically. In deployment, that same effect is the number-one thing to watch.</w:t>
      </w:r>
    </w:p>
    <w:p>
      <w:pPr>
        <w:pStyle w:val="Heading1"/>
        <w:spacing w:after="160" w:before="360"/>
      </w:pPr>
      <w:r>
        <w:rPr>
          <w:rFonts w:ascii="Calibri" w:cs="Calibri" w:eastAsia="Calibri" w:hAnsi="Calibri"/>
          <w:b/>
          <w:bCs/>
          <w:color w:val="B34725"/>
          <w:sz w:val="30"/>
          <w:szCs w:val="30"/>
        </w:rPr>
        <w:t xml:space="preserve">3.  Asking whether the problem is even solvable</w:t>
      </w:r>
    </w:p>
    <w:p>
      <w:pPr>
        <w:spacing w:after="160" w:line="300"/>
      </w:pPr>
      <w:r>
        <w:rPr>
          <w:rFonts w:ascii="Calibri" w:cs="Calibri" w:eastAsia="Calibri" w:hAnsi="Calibri"/>
          <w:color w:val="232323"/>
          <w:sz w:val="22"/>
          <w:szCs w:val="22"/>
        </w:rPr>
        <w:t xml:space="preserve">Before building anything, we ran a check most projects skip. A snapshot shows only the top (camera) and bottom (TC1). If two different interiors could produce the same top and bottom readings, no model — however clever — could tell them apart, and the whole idea would be dead on arrival.</w:t>
      </w:r>
    </w:p>
    <w:p>
      <w:pPr>
        <w:spacing w:after="160" w:line="300"/>
      </w:pPr>
      <w:r>
        <w:rPr>
          <w:rFonts w:ascii="Calibri" w:cs="Calibri" w:eastAsia="Calibri" w:hAnsi="Calibri"/>
          <w:color w:val="232323"/>
          <w:sz w:val="22"/>
          <w:szCs w:val="22"/>
        </w:rPr>
        <w:t xml:space="preserve">So we searched the data for pairs of moments, from different runs, whose inputs looked nearly identical, and asked whether their interiors matched too. They did: interiors of such “input twins” differed five times less than randomly chosen pairs. In other words, the inside is knowable from the outside. Only after seeing that did we invest in the model.</w:t>
      </w:r>
    </w:p>
    <w:p>
      <w:pPr>
        <w:pStyle w:val="Heading1"/>
        <w:spacing w:after="160" w:before="360"/>
      </w:pPr>
      <w:r>
        <w:rPr>
          <w:rFonts w:ascii="Calibri" w:cs="Calibri" w:eastAsia="Calibri" w:hAnsi="Calibri"/>
          <w:b/>
          <w:bCs/>
          <w:color w:val="B34725"/>
          <w:sz w:val="30"/>
          <w:szCs w:val="30"/>
        </w:rPr>
        <w:t xml:space="preserve">4.  The model, and what it is actually doing</w:t>
      </w:r>
    </w:p>
    <w:p>
      <w:pPr>
        <w:spacing w:after="160" w:line="300"/>
      </w:pPr>
      <w:r>
        <w:rPr>
          <w:rFonts w:ascii="Calibri" w:cs="Calibri" w:eastAsia="Calibri" w:hAnsi="Calibri"/>
          <w:color w:val="232323"/>
          <w:sz w:val="22"/>
          <w:szCs w:val="22"/>
        </w:rPr>
        <w:t xml:space="preserve">The final model is deliberately small — a compact neural network (an MLP: a few layers that learn to mix numbers into patterns). The cleverness is not in its size but in the question we ask it. Instead of demanding all nine probe values at once, we ask:</w:t>
      </w:r>
    </w:p>
    <w:p>
      <w:pPr>
        <w:spacing w:after="160" w:line="300"/>
      </w:pPr>
      <w:r>
        <w:rPr>
          <w:rFonts w:ascii="Calibri" w:cs="Calibri" w:eastAsia="Calibri" w:hAnsi="Calibri"/>
          <w:i/>
          <w:iCs/>
          <w:color w:val="B34725"/>
          <w:sz w:val="22"/>
          <w:szCs w:val="22"/>
        </w:rPr>
        <w:t xml:space="preserve">“Given the eight camera numbers, TC1, the run settings (flux, absorber, surfactant) — and a depth z — what is the temperature at that depth?”</w:t>
      </w:r>
    </w:p>
    <w:p>
      <w:pPr>
        <w:spacing w:after="160" w:line="300"/>
      </w:pPr>
      <w:r>
        <w:rPr>
          <w:rFonts w:ascii="Calibri" w:cs="Calibri" w:eastAsia="Calibri" w:hAnsi="Calibri"/>
          <w:color w:val="232323"/>
          <w:sz w:val="22"/>
          <w:szCs w:val="22"/>
        </w:rPr>
        <w:t xml:space="preserve">Depth is an input, not an output. Want TC5? Ask with z = 5. TC9.5? Ask with z = 9.5. Want a smooth curve through the whole interior? Ask at fifty depths. One model answers all of it, and every measurement from every run teaches it about the shape of temperature profiles in general — which is exactly how the rare TC9.5 probe (present in only five runs) gets sensible predictions at all.</w:t>
      </w:r>
    </w:p>
    <w:p>
      <w:pPr>
        <w:spacing w:after="160" w:line="300"/>
      </w:pPr>
      <w:r>
        <w:rPr>
          <w:rFonts w:ascii="Calibri" w:cs="Calibri" w:eastAsia="Calibri" w:hAnsi="Calibri"/>
          <w:color w:val="232323"/>
          <w:sz w:val="22"/>
          <w:szCs w:val="22"/>
        </w:rPr>
        <w:t xml:space="preserve">Two design choices did a lot of quiet work. First, the model predicts the difference from TC1 rather than the absolute temperature, so it learns profile shape and lets the trusted bottom probe anchor the level. Second, we made it earn its place: a strong rival method (gradient-boosted trees) was trained on identical data, and the network won.</w:t>
      </w:r>
    </w:p>
    <w:p>
      <w:pPr>
        <w:pStyle w:val="Heading1"/>
        <w:spacing w:after="160" w:before="360"/>
      </w:pPr>
      <w:r>
        <w:rPr>
          <w:rFonts w:ascii="Calibri" w:cs="Calibri" w:eastAsia="Calibri" w:hAnsi="Calibri"/>
          <w:b/>
          <w:bCs/>
          <w:color w:val="B34725"/>
          <w:sz w:val="30"/>
          <w:szCs w:val="30"/>
        </w:rPr>
        <w:t xml:space="preserve">5.  How good is it — measured honestly</w:t>
      </w:r>
    </w:p>
    <w:p>
      <w:pPr>
        <w:spacing w:after="160" w:line="300"/>
      </w:pPr>
      <w:r>
        <w:rPr>
          <w:rFonts w:ascii="Calibri" w:cs="Calibri" w:eastAsia="Calibri" w:hAnsi="Calibri"/>
          <w:color w:val="232323"/>
          <w:sz w:val="22"/>
          <w:szCs w:val="22"/>
        </w:rPr>
        <w:t xml:space="preserve">A model must never be graded on data it studied. Our test trains on 36 runs, hides the 37th completely, predicts every second of it, and repeats this 37 times so every run takes a turn as the unseen one. The table shows the average miss, in °C, on those hidden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TC2</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TC3</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TC4</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TC5</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TC6</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TC7</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TC8</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TC9</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TC9.5</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TC10</w:t>
            </w:r>
          </w:p>
        </w:tc>
        <w:tc>
          <w:tcPr>
            <w:tcW w:type="dxa" w:w="850"/>
            <w:tcBorders>
              <w:top w:val="single" w:color="DDD5CC" w:sz="4"/>
              <w:left w:val="single" w:color="DDD5CC" w:sz="4"/>
              <w:bottom w:val="single" w:color="DDD5CC" w:sz="4"/>
              <w:right w:val="single" w:color="DDD5CC" w:sz="4"/>
            </w:tcBorders>
            <w:shd w:fill="F4EDE4" w:val="clear"/>
            <w:tcMar>
              <w:top w:type="dxa" w:w="80"/>
              <w:left w:type="dxa" w:w="100"/>
              <w:bottom w:type="dxa" w:w="80"/>
              <w:right w:type="dxa" w:w="100"/>
            </w:tcMar>
          </w:tcPr>
          <w:p>
            <w:pPr>
              <w:jc w:val="center"/>
            </w:pPr>
            <w:r>
              <w:rPr>
                <w:rFonts w:ascii="Calibri" w:cs="Calibri" w:eastAsia="Calibri" w:hAnsi="Calibri"/>
                <w:b/>
                <w:bCs/>
                <w:color w:val="B34725"/>
                <w:sz w:val="19"/>
                <w:szCs w:val="19"/>
              </w:rPr>
              <w:t xml:space="preserve">Overall</w:t>
            </w:r>
          </w:p>
        </w:tc>
      </w:tr>
      <w:tr>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1.00</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0.83</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0.91</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0.90</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0.97</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0.91</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1.09</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1.74</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4.58</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val="false"/>
                <w:bCs w:val="false"/>
                <w:color w:val="232323"/>
                <w:sz w:val="19"/>
                <w:szCs w:val="19"/>
              </w:rPr>
              <w:t xml:space="preserve">3.31</w:t>
            </w:r>
          </w:p>
        </w:tc>
        <w:tc>
          <w:tcPr>
            <w:tcW w:type="dxa" w:w="850"/>
            <w:tcBorders>
              <w:top w:val="single" w:color="DDD5CC" w:sz="4"/>
              <w:left w:val="single" w:color="DDD5CC" w:sz="4"/>
              <w:bottom w:val="single" w:color="DDD5CC" w:sz="4"/>
              <w:right w:val="single" w:color="DDD5CC" w:sz="4"/>
            </w:tcBorders>
            <w:tcMar>
              <w:top w:type="dxa" w:w="80"/>
              <w:left w:type="dxa" w:w="100"/>
              <w:bottom w:type="dxa" w:w="80"/>
              <w:right w:type="dxa" w:w="100"/>
            </w:tcMar>
          </w:tcPr>
          <w:p>
            <w:pPr>
              <w:jc w:val="center"/>
            </w:pPr>
            <w:r>
              <w:rPr>
                <w:rFonts w:ascii="Calibri" w:cs="Calibri" w:eastAsia="Calibri" w:hAnsi="Calibri"/>
                <w:b/>
                <w:bCs/>
                <w:color w:val="232323"/>
                <w:sz w:val="19"/>
                <w:szCs w:val="19"/>
              </w:rPr>
              <w:t xml:space="preserve">1.34</w:t>
            </w:r>
          </w:p>
        </w:tc>
      </w:tr>
    </w:tbl>
    <w:p>
      <w:pPr>
        <w:spacing w:after="160" w:before="120" w:line="300"/>
      </w:pPr>
      <w:r>
        <w:rPr>
          <w:i/>
          <w:iCs/>
          <w:color w:val="6B6B6B"/>
          <w:sz w:val="19"/>
          <w:szCs w:val="19"/>
        </w:rPr>
        <w:t xml:space="preserve">Average absolute error (°C) per probe on completely unseen runs. Interior probes sit near 1 °C; the surface (TC10) is hardest at ~3 °C; TC9.5 has only five runs of training data.</w:t>
      </w:r>
    </w:p>
    <w:p>
      <w:pPr>
        <w:spacing w:after="160" w:line="300"/>
      </w:pPr>
      <w:r>
        <w:rPr>
          <w:rFonts w:ascii="Calibri" w:cs="Calibri" w:eastAsia="Calibri" w:hAnsi="Calibri"/>
          <w:color w:val="232323"/>
          <w:sz w:val="22"/>
          <w:szCs w:val="22"/>
        </w:rPr>
        <w:t xml:space="preserve">For context, the camera itself is only rated to ±2 °C. Reconstructing eight hidden interior temperatures to about a degree, from one image and one probe, is a result we are comfortable defending. Broken down by regime: the standard runs average 1.12 °C, the mid-absorber runs 1.61 °C, and the high-absorber runs — the hardest physics, with the steepest near-surface gradients — 1.84 °C.</w:t>
      </w:r>
    </w:p>
    <w:p>
      <w:pPr>
        <w:pStyle w:val="Heading1"/>
        <w:spacing w:after="160" w:before="360"/>
      </w:pPr>
      <w:r>
        <w:rPr>
          <w:rFonts w:ascii="Calibri" w:cs="Calibri" w:eastAsia="Calibri" w:hAnsi="Calibri"/>
          <w:b/>
          <w:bCs/>
          <w:color w:val="B34725"/>
          <w:sz w:val="30"/>
          <w:szCs w:val="30"/>
        </w:rPr>
        <w:t xml:space="preserve">6.  What exists now</w:t>
      </w:r>
    </w:p>
    <w:p>
      <w:pPr>
        <w:pStyle w:val="ListParagraph"/>
        <w:numPr>
          <w:ilvl w:val="0"/>
          <w:numId w:val="2"/>
        </w:numPr>
        <w:spacing w:after="100" w:line="290"/>
      </w:pPr>
      <w:r>
        <w:rPr>
          <w:rFonts w:ascii="Calibri" w:cs="Calibri" w:eastAsia="Calibri" w:hAnsi="Calibri"/>
          <w:b/>
          <w:bCs/>
          <w:color w:val="232323"/>
          <w:sz w:val="22"/>
          <w:szCs w:val="22"/>
        </w:rPr>
        <w:t xml:space="preserve">A conversion pipeline</w:t>
      </w:r>
      <w:r>
        <w:rPr>
          <w:rFonts w:ascii="Calibri" w:cs="Calibri" w:eastAsia="Calibri" w:hAnsi="Calibri"/>
          <w:color w:val="232323"/>
          <w:sz w:val="22"/>
          <w:szCs w:val="22"/>
        </w:rPr>
        <w:t xml:space="preserve"> that turns raw camera archives into compact, readable files (and scales to any future data).</w:t>
      </w:r>
    </w:p>
    <w:p>
      <w:pPr>
        <w:pStyle w:val="ListParagraph"/>
        <w:numPr>
          <w:ilvl w:val="0"/>
          <w:numId w:val="2"/>
        </w:numPr>
        <w:spacing w:after="100" w:line="290"/>
      </w:pPr>
      <w:r>
        <w:rPr>
          <w:rFonts w:ascii="Calibri" w:cs="Calibri" w:eastAsia="Calibri" w:hAnsi="Calibri"/>
          <w:b/>
          <w:bCs/>
          <w:color w:val="232323"/>
          <w:sz w:val="22"/>
          <w:szCs w:val="22"/>
        </w:rPr>
        <w:t xml:space="preserve">A cleaning pipeline</w:t>
      </w:r>
      <w:r>
        <w:rPr>
          <w:rFonts w:ascii="Calibri" w:cs="Calibri" w:eastAsia="Calibri" w:hAnsi="Calibri"/>
          <w:color w:val="232323"/>
          <w:sz w:val="22"/>
          <w:szCs w:val="22"/>
        </w:rPr>
        <w:t xml:space="preserve"> for the thermocouple workbooks, with every trimming decision logged and reproducible.</w:t>
      </w:r>
    </w:p>
    <w:p>
      <w:pPr>
        <w:pStyle w:val="ListParagraph"/>
        <w:numPr>
          <w:ilvl w:val="0"/>
          <w:numId w:val="2"/>
        </w:numPr>
        <w:spacing w:after="100" w:line="290"/>
      </w:pPr>
      <w:r>
        <w:rPr>
          <w:rFonts w:ascii="Calibri" w:cs="Calibri" w:eastAsia="Calibri" w:hAnsi="Calibri"/>
          <w:b/>
          <w:bCs/>
          <w:color w:val="232323"/>
          <w:sz w:val="22"/>
          <w:szCs w:val="22"/>
        </w:rPr>
        <w:t xml:space="preserve">A verified, aligned dataset</w:t>
      </w:r>
      <w:r>
        <w:rPr>
          <w:rFonts w:ascii="Calibri" w:cs="Calibri" w:eastAsia="Calibri" w:hAnsi="Calibri"/>
          <w:color w:val="232323"/>
          <w:sz w:val="22"/>
          <w:szCs w:val="22"/>
        </w:rPr>
        <w:t xml:space="preserve"> — 36,881 seconds of paired camera-and-probe measurements across 38 runs and 9 experimental conditions.</w:t>
      </w:r>
    </w:p>
    <w:p>
      <w:pPr>
        <w:pStyle w:val="ListParagraph"/>
        <w:numPr>
          <w:ilvl w:val="0"/>
          <w:numId w:val="2"/>
        </w:numPr>
        <w:spacing w:after="100" w:line="290"/>
      </w:pPr>
      <w:r>
        <w:rPr>
          <w:rFonts w:ascii="Calibri" w:cs="Calibri" w:eastAsia="Calibri" w:hAnsi="Calibri"/>
          <w:b/>
          <w:bCs/>
          <w:color w:val="232323"/>
          <w:sz w:val="22"/>
          <w:szCs w:val="22"/>
        </w:rPr>
        <w:t xml:space="preserve">The trained model and a one-command tool</w:t>
      </w:r>
      <w:r>
        <w:rPr>
          <w:rFonts w:ascii="Calibri" w:cs="Calibri" w:eastAsia="Calibri" w:hAnsi="Calibri"/>
          <w:color w:val="232323"/>
          <w:sz w:val="22"/>
          <w:szCs w:val="22"/>
        </w:rPr>
        <w:t xml:space="preserve">: give it a snapshot, TC1 and the settings, and it prints the full profile — including a smooth 50-point curve — in a millisecond.</w:t>
      </w:r>
    </w:p>
    <w:p>
      <w:pPr>
        <w:pStyle w:val="Heading1"/>
        <w:spacing w:after="160" w:before="360"/>
      </w:pPr>
      <w:r>
        <w:rPr>
          <w:rFonts w:ascii="Calibri" w:cs="Calibri" w:eastAsia="Calibri" w:hAnsi="Calibri"/>
          <w:b/>
          <w:bCs/>
          <w:color w:val="B34725"/>
          <w:sz w:val="30"/>
          <w:szCs w:val="30"/>
        </w:rPr>
        <w:t xml:space="preserve">7.  Honest limitations, and what comes next</w:t>
      </w:r>
    </w:p>
    <w:p>
      <w:pPr>
        <w:spacing w:after="160" w:line="300"/>
      </w:pPr>
      <w:r>
        <w:rPr>
          <w:rFonts w:ascii="Calibri" w:cs="Calibri" w:eastAsia="Calibri" w:hAnsi="Calibri"/>
          <w:color w:val="232323"/>
          <w:sz w:val="22"/>
          <w:szCs w:val="22"/>
        </w:rPr>
        <w:t xml:space="preserve">Three things keep us appropriately humble. The model only trusts conditions it has seen — a new flux level or a different salt means collecting data there first. TC9.5’s error is a data problem, not a model problem; a few more high-absorber runs would fix it. And in long-term industrial use, anything that changes how the surface glows — coatings, oxidation, surfactants — shifts the camera’s readings; the emissivity story from Section 2 is the failure mode to monitor.</w:t>
      </w:r>
    </w:p>
    <w:p>
      <w:pPr>
        <w:spacing w:after="160" w:line="300"/>
      </w:pPr>
      <w:r>
        <w:rPr>
          <w:rFonts w:ascii="Calibri" w:cs="Calibri" w:eastAsia="Calibri" w:hAnsi="Calibri"/>
          <w:color w:val="232323"/>
          <w:sz w:val="22"/>
          <w:szCs w:val="22"/>
        </w:rPr>
        <w:t xml:space="preserve">The natural next steps: a held-out-condition stress test (train with an entire regime missing and see how gracefully it fails), a physics-based regulariser using our 1D conduction model, and targeted data collection in the high-absorber regime. The foundation — clean data, verified alignment, an honest evaluation habit, and a model that already works — is in place.</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2026-07-29T07:03:02.242Z</dcterms:created>
  <dcterms:modified xsi:type="dcterms:W3CDTF">2026-07-29T07:03:02.243Z</dcterms:modified>
</cp:coreProperties>
</file>

<file path=docProps/custom.xml><?xml version="1.0" encoding="utf-8"?>
<Properties xmlns="http://schemas.openxmlformats.org/officeDocument/2006/custom-properties" xmlns:vt="http://schemas.openxmlformats.org/officeDocument/2006/docPropsVTypes"/>
</file>