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sz w:val="64"/>
          <w:szCs w:val="64"/>
        </w:rPr>
        <w:t xml:space="preserve">🍄</w:t>
      </w:r>
    </w:p>
    <w:p>
      <w:pPr>
        <w:spacing w:before="0" w:after="120"/>
        <w:jc w:val="center"/>
      </w:pPr>
      <w:r>
        <w:rPr>
          <w:rFonts w:ascii="Arial" w:cs="Arial" w:eastAsia="Arial" w:hAnsi="Arial"/>
          <w:b/>
          <w:bCs/>
          <w:color w:val="2D6A4F"/>
          <w:sz w:val="40"/>
          <w:szCs w:val="40"/>
        </w:rPr>
        <w:t xml:space="preserve">ANALYSE DE LA CONCURRENCE</w:t>
      </w:r>
    </w:p>
    <w:p>
      <w:pPr>
        <w:spacing w:before="0" w:after="120"/>
        <w:jc w:val="center"/>
      </w:pPr>
      <w:r>
        <w:rPr>
          <w:rFonts w:ascii="Arial" w:cs="Arial" w:eastAsia="Arial" w:hAnsi="Arial"/>
          <w:b/>
          <w:bCs/>
          <w:color w:val="2D6A4F"/>
          <w:sz w:val="40"/>
          <w:szCs w:val="40"/>
        </w:rPr>
        <w:t xml:space="preserve">ET OPPORTUNITÉS DU TERRITOIRE</w:t>
      </w:r>
    </w:p>
    <w:p>
      <w:pPr>
        <w:spacing w:before="160" w:after="80"/>
        <w:jc w:val="center"/>
      </w:pPr>
      <w:r>
        <w:rPr>
          <w:rFonts w:ascii="Arial" w:cs="Arial" w:eastAsia="Arial" w:hAnsi="Arial"/>
          <w:i/>
          <w:iCs/>
          <w:color w:val="40916C"/>
          <w:sz w:val="28"/>
          <w:szCs w:val="28"/>
        </w:rPr>
        <w:t xml:space="preserve">Exploitation mycicole — Bordeaux Métropole</w:t>
      </w:r>
    </w:p>
    <w:p>
      <w:pPr>
        <w:spacing w:before="80" w:after="80"/>
        <w:jc w:val="center"/>
      </w:pPr>
      <w:r>
        <w:rPr>
          <w:rFonts w:ascii="Arial" w:cs="Arial" w:eastAsia="Arial" w:hAnsi="Arial"/>
          <w:color w:val="555555"/>
          <w:sz w:val="24"/>
          <w:szCs w:val="24"/>
        </w:rPr>
        <w:t xml:space="preserve">Champignons frais (pleurotes, shiitake, lion's mane, reishi)</w:t>
      </w:r>
    </w:p>
    <w:p>
      <w:pPr>
        <w:spacing w:before="0" w:after="600"/>
        <w:jc w:val="center"/>
      </w:pPr>
      <w:r>
        <w:rPr>
          <w:rFonts w:ascii="Arial" w:cs="Arial" w:eastAsia="Arial" w:hAnsi="Arial"/>
          <w:color w:val="555555"/>
          <w:sz w:val="24"/>
          <w:szCs w:val="24"/>
        </w:rPr>
        <w:t xml:space="preserve">Champignons bien-être (poudres &amp; extraits)</w:t>
      </w:r>
    </w:p>
    <w:p>
      <w:pPr>
        <w:spacing w:before="0" w:after="80"/>
        <w:jc w:val="center"/>
      </w:pPr>
      <w:r>
        <w:rPr>
          <w:rFonts w:ascii="Arial" w:cs="Arial" w:eastAsia="Arial" w:hAnsi="Arial"/>
          <w:color w:val="888888"/>
          <w:sz w:val="22"/>
          <w:szCs w:val="22"/>
        </w:rPr>
        <w:t xml:space="preserve">Exercice BPREA — Mars 2026</w:t>
      </w:r>
    </w:p>
    <w:p>
      <w:r>
        <w:br w:type="page"/>
      </w:r>
    </w:p>
    <w:p>
      <w:pPr>
        <w:pStyle w:val="Heading1"/>
        <w:spacing w:before="320" w:after="160"/>
      </w:pPr>
      <w:r>
        <w:rPr>
          <w:rFonts w:ascii="Arial" w:cs="Arial" w:eastAsia="Arial" w:hAnsi="Arial"/>
          <w:b/>
          <w:bCs/>
          <w:color w:val="2D6A4F"/>
          <w:sz w:val="32"/>
          <w:szCs w:val="32"/>
        </w:rPr>
        <w:t xml:space="preserve">Zone de chalandise</w:t>
      </w:r>
    </w:p>
    <w:p>
      <w:pPr>
        <w:spacing w:before="80" w:after="80"/>
      </w:pPr>
      <w:r>
        <w:rPr>
          <w:rFonts w:ascii="Arial" w:cs="Arial" w:eastAsia="Arial" w:hAnsi="Arial"/>
          <w:sz w:val="22"/>
          <w:szCs w:val="22"/>
        </w:rPr>
        <w:t xml:space="preserve">La zone de chalandise principale est Bordeaux Métropole, regroupant 28 communes pour 854 334 habitants (INSEE 2023), avec une trajectoire vers le million d'habitants d'ici 2030. C'est un bassin de consommation dense, urbain, au revenu moyen supérieur à la moyenne nationale (24 870 € vs 20 590 €).</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253"/>
        <w:gridCol w:w="3253"/>
      </w:tblGrid>
      <w:tr>
        <w:tc>
          <w:tcPr>
            <w:tcW w:type="dxa" w:w="3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Zone</w:t>
            </w:r>
          </w:p>
        </w:tc>
        <w:tc>
          <w:tcPr>
            <w:tcW w:type="dxa" w:w="3253"/>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Périmètre</w:t>
            </w:r>
          </w:p>
        </w:tc>
        <w:tc>
          <w:tcPr>
            <w:tcW w:type="dxa" w:w="3253"/>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Population</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Zone principale</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Bordeaux Métropole (28 communes)</w:t>
            </w:r>
          </w:p>
        </w:tc>
        <w:tc>
          <w:tcPr>
            <w:tcW w:type="dxa" w:w="32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854 334 hab.</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Zone secondaire</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Département de la Gironde</w:t>
            </w:r>
          </w:p>
        </w:tc>
        <w:tc>
          <w:tcPr>
            <w:tcW w:type="dxa" w:w="32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~1 600 000 hab.</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Zone tertiaire (web)</w:t>
            </w:r>
          </w:p>
        </w:tc>
        <w:tc>
          <w:tcPr>
            <w:tcW w:type="dxa" w:w="3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Nouvelle-Aquitaine + national (produits bien-être)</w:t>
            </w:r>
          </w:p>
        </w:tc>
        <w:tc>
          <w:tcPr>
            <w:tcW w:type="dxa" w:w="3253"/>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~6 000 000 hab.</w:t>
            </w:r>
          </w:p>
        </w:tc>
      </w:tr>
    </w:tbl>
    <w:p>
      <w:pPr>
        <w:spacing w:before="60" w:after="60"/>
      </w:pPr>
      <w:r>
        <w:t xml:space="preserve"/>
      </w:r>
    </w:p>
    <w:p>
      <w:pPr>
        <w:spacing w:before="80" w:after="80"/>
      </w:pPr>
      <w:r>
        <w:rPr>
          <w:rFonts w:ascii="Arial" w:cs="Arial" w:eastAsia="Arial" w:hAnsi="Arial"/>
          <w:i/>
          <w:iCs/>
          <w:color w:val="888888"/>
          <w:sz w:val="22"/>
          <w:szCs w:val="22"/>
        </w:rPr>
        <w:t xml:space="preserve">📍 Carte : insérer ici une carte Bordeaux Métropole avec les 28 communes et la localisation du site de production pressentie.</w:t>
      </w:r>
    </w:p>
    <w:p>
      <w:pPr>
        <w:spacing w:before="60" w:after="60"/>
      </w:pPr>
      <w:r>
        <w:t xml:space="preserve"/>
      </w:r>
    </w:p>
    <w:p>
      <w:r>
        <w:br w:type="page"/>
      </w:r>
    </w:p>
    <w:p>
      <w:pPr>
        <w:pStyle w:val="Heading1"/>
        <w:spacing w:before="320" w:after="160"/>
      </w:pPr>
      <w:r>
        <w:rPr>
          <w:rFonts w:ascii="Arial" w:cs="Arial" w:eastAsia="Arial" w:hAnsi="Arial"/>
          <w:b/>
          <w:bCs/>
          <w:color w:val="2D6A4F"/>
          <w:sz w:val="32"/>
          <w:szCs w:val="32"/>
        </w:rPr>
        <w:t xml:space="preserve">1. Observation et quantification de la concurrence</w:t>
      </w:r>
    </w:p>
    <w:p>
      <w:pPr>
        <w:pStyle w:val="Heading2"/>
        <w:spacing w:before="240" w:after="120"/>
      </w:pPr>
      <w:r>
        <w:rPr>
          <w:rFonts w:ascii="Arial" w:cs="Arial" w:eastAsia="Arial" w:hAnsi="Arial"/>
          <w:b/>
          <w:bCs/>
          <w:color w:val="40916C"/>
          <w:sz w:val="26"/>
          <w:szCs w:val="26"/>
        </w:rPr>
        <w:t xml:space="preserve">1.1 Acteurs mycicoles identifiés — Concurrents &amp; Partenaires potentiels</w:t>
      </w:r>
    </w:p>
    <w:p>
      <w:pPr>
        <w:spacing w:before="80" w:after="80"/>
      </w:pPr>
      <w:r>
        <w:rPr>
          <w:rFonts w:ascii="Arial" w:cs="Arial" w:eastAsia="Arial" w:hAnsi="Arial"/>
          <w:sz w:val="22"/>
          <w:szCs w:val="22"/>
        </w:rPr>
        <w:t xml:space="preserve">Le marché des champignons spécialisés en Gironde compte peu d'acteurs structurés. Certains représentent une concurrence directe, d'autres constituent des partenaires potentiels pour une mutualisation (substrat, distribution, filière).</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506"/>
        <w:gridCol w:w="1500"/>
        <w:gridCol w:w="1100"/>
        <w:gridCol w:w="2100"/>
      </w:tblGrid>
      <w:tr>
        <w:tc>
          <w:tcPr>
            <w:tcW w:type="dxa" w:w="19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Acteur</w:t>
            </w:r>
          </w:p>
        </w:tc>
        <w:tc>
          <w:tcPr>
            <w:tcW w:type="dxa" w:w="14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Localisation</w:t>
            </w:r>
          </w:p>
        </w:tc>
        <w:tc>
          <w:tcPr>
            <w:tcW w:type="dxa" w:w="1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Produits</w:t>
            </w:r>
          </w:p>
        </w:tc>
        <w:tc>
          <w:tcPr>
            <w:tcW w:type="dxa" w:w="1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Circuit</w:t>
            </w:r>
          </w:p>
        </w:tc>
        <w:tc>
          <w:tcPr>
            <w:tcW w:type="dxa" w:w="11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w:t>
            </w:r>
          </w:p>
        </w:tc>
        <w:tc>
          <w:tcPr>
            <w:tcW w:type="dxa" w:w="21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Statut</w:t>
            </w:r>
          </w:p>
        </w:tc>
      </w:tr>
      <w:tr>
        <w:tc>
          <w:tcPr>
            <w:tcW w:type="dxa" w:w="19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 Champignonne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Bordeaux Bacalan</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Pleurotes, shiitake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Boutique, marché Bruges, web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12–18 €/kg</w:t>
            </w:r>
          </w:p>
        </w:tc>
        <w:tc>
          <w:tcPr>
            <w:tcW w:type="dxa" w:w="2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direct</w:t>
            </w:r>
          </w:p>
        </w:tc>
      </w:tr>
      <w:tr>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 Cave Agricole (Cycloponics)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Floirac + Lormont</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 de Paris bio, pleurotes, shiitake, endives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Restaurateurs Gironde, épiceries bio, Too Good To Go, La Ruche, Drive Fermier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NC</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 Partenaire potentiel</w:t>
            </w:r>
          </w:p>
        </w:tc>
      </w:tr>
      <w:tr>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Les Champis d'Entre-Deux-Mers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Lugasson (~40 km)</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Champignons frais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Circuit court local — à qualifier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NC</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 Partenaire potentiel</w:t>
            </w:r>
          </w:p>
        </w:tc>
      </w:tr>
      <w:tr>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Les Champignons de Lucille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St-Germain-de-la-Rivière (~35 km)</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Champignons frais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Vente directe — à qualifier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NC</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 Partenaire potentiel</w:t>
            </w:r>
          </w:p>
        </w:tc>
      </w:tr>
      <w:tr>
        <w:tc>
          <w:tcPr>
            <w:tcW w:type="dxa" w:w="1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If Champignons d'Aquitaine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Port-Sainte-Marie, Lot-et-Garonne (~100 km)</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Pleurotes, shiitake — substrats paille/blé/seigle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Nérac, Biocoop, La Ruche, vente directe à la ferme, substrats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NC</w:t>
            </w:r>
          </w:p>
        </w:tc>
        <w:tc>
          <w:tcPr>
            <w:tcW w:type="dxa" w:w="21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Concurrent / Partenaire potentiel</w:t>
            </w:r>
          </w:p>
        </w:tc>
      </w:tr>
      <w:tr>
        <w:tc>
          <w:tcPr>
            <w:tcW w:type="dxa" w:w="19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Château Angélus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Saint-Émilion (~35 km)</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Réseau gastronomique premium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Oenotourisme haut de gamme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1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Partenaire stratégique</w:t>
            </w:r>
          </w:p>
        </w:tc>
      </w:tr>
    </w:tbl>
    <w:p>
      <w:pPr>
        <w:spacing w:before="60" w:after="60"/>
      </w:pPr>
      <w:r>
        <w:t xml:space="preserve"/>
      </w:r>
    </w:p>
    <w:p>
      <w:pPr>
        <w:spacing w:before="80" w:after="80"/>
      </w:pPr>
      <w:r>
        <w:rPr>
          <w:rFonts w:ascii="Arial" w:cs="Arial" w:eastAsia="Arial" w:hAnsi="Arial"/>
          <w:i/>
          <w:iCs/>
          <w:color w:val="666666"/>
          <w:sz w:val="22"/>
          <w:szCs w:val="22"/>
        </w:rPr>
        <w:t xml:space="preserve">Légende : Concurrent direct = acteur sur la même zone avec mêmes produits / Concurrent/Partenaire = potentiel de mutualisation (substrat, filière, distribution) / Partenaire stratégique = allié commercial identifié.</w:t>
      </w:r>
    </w:p>
    <w:p>
      <w:pPr>
        <w:spacing w:before="60" w:after="60"/>
      </w:pPr>
      <w:r>
        <w:t xml:space="preserve"/>
      </w:r>
    </w:p>
    <w:p>
      <w:pPr>
        <w:pStyle w:val="Heading2"/>
        <w:spacing w:before="240" w:after="120"/>
      </w:pPr>
      <w:r>
        <w:rPr>
          <w:rFonts w:ascii="Arial" w:cs="Arial" w:eastAsia="Arial" w:hAnsi="Arial"/>
          <w:b/>
          <w:bCs/>
          <w:color w:val="40916C"/>
          <w:sz w:val="26"/>
          <w:szCs w:val="26"/>
        </w:rPr>
        <w:t xml:space="preserve">1.2 Concurrents indirects — Champignons frais</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2200"/>
        <w:gridCol w:w="1800"/>
        <w:gridCol w:w="1600"/>
      </w:tblGrid>
      <w:tr>
        <w:tc>
          <w:tcPr>
            <w:tcW w:type="dxa" w:w="22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Acteur</w:t>
            </w:r>
          </w:p>
        </w:tc>
        <w:tc>
          <w:tcPr>
            <w:tcW w:type="dxa" w:w="17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2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Produits</w:t>
            </w:r>
          </w:p>
        </w:tc>
        <w:tc>
          <w:tcPr>
            <w:tcW w:type="dxa" w:w="18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Circuit</w:t>
            </w:r>
          </w:p>
        </w:tc>
        <w:tc>
          <w:tcPr>
            <w:tcW w:type="dxa" w:w="16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Différenciation possible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des Capucins</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traditionnel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Champignons de Paris, quelques variétés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B2C direct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Fraîcheur + variétés rares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Metro Bordeaux</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Grossiste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Shiitake, pleurotes import, champignons de Paris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B2B restauration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 + fraîcheur J-1 vs 48h</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GMS (Leclerc, Carrefour...)</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Grande 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Champignons de Paris, pleurotes import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Terroir + traçabilité + variétés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Épiceries bio (Biocoop...)</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Spécialisé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Champignons bio sous vide, importés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B2C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Fraîcheur + local + non emballé</w:t>
            </w:r>
          </w:p>
        </w:tc>
      </w:tr>
    </w:tbl>
    <w:p>
      <w:pPr>
        <w:spacing w:before="60" w:after="60"/>
      </w:pPr>
      <w:r>
        <w:t xml:space="preserve"/>
      </w:r>
    </w:p>
    <w:p>
      <w:pPr>
        <w:pStyle w:val="Heading2"/>
        <w:spacing w:before="240" w:after="120"/>
      </w:pPr>
      <w:r>
        <w:rPr>
          <w:rFonts w:ascii="Arial" w:cs="Arial" w:eastAsia="Arial" w:hAnsi="Arial"/>
          <w:b/>
          <w:bCs/>
          <w:color w:val="40916C"/>
          <w:sz w:val="26"/>
          <w:szCs w:val="26"/>
        </w:rPr>
        <w:t xml:space="preserve">1.3 Concurrence — Champignons bien-être (poudres &amp; extraits)</w:t>
      </w:r>
    </w:p>
    <w:p>
      <w:pPr>
        <w:spacing w:before="80" w:after="80"/>
      </w:pPr>
      <w:r>
        <w:rPr>
          <w:rFonts w:ascii="Arial" w:cs="Arial" w:eastAsia="Arial" w:hAnsi="Arial"/>
          <w:sz w:val="22"/>
          <w:szCs w:val="22"/>
        </w:rPr>
        <w:t xml:space="preserve">Segment peu développé localement. La concurrence est principalement nationale et internationale, positionnée sur des produits importés.</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706"/>
        <w:gridCol w:w="2000"/>
        <w:gridCol w:w="1800"/>
        <w:gridCol w:w="1500"/>
      </w:tblGrid>
      <w:tr>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Acteur</w:t>
            </w:r>
          </w:p>
        </w:tc>
        <w:tc>
          <w:tcPr>
            <w:tcW w:type="dxa" w:w="17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Produits</w:t>
            </w:r>
          </w:p>
        </w:tc>
        <w:tc>
          <w:tcPr>
            <w:tcW w:type="dxa" w:w="18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Canal</w:t>
            </w:r>
          </w:p>
        </w:tc>
        <w:tc>
          <w:tcPr>
            <w:tcW w:type="dxa" w:w="1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Menace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E-commerçants nationaux (Yogi Tea, Nutri&amp;Co...)</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Pure players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Poudres lion's mane, reishi, cordyceps (origine Asie)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 ligne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Modérée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Marques compléments alimentaires</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Industrie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Gélules standardisées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Pharmacies, parapharmacies, web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Faible</w:t>
            </w:r>
          </w:p>
        </w:tc>
      </w:tr>
      <w:tr>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Producteurs locaux Gironde</w:t>
            </w:r>
          </w:p>
        </w:tc>
        <w:tc>
          <w:tcPr>
            <w:tcW w:type="dxa" w:w="1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Aucun</w:t>
            </w:r>
          </w:p>
        </w:tc>
      </w:tr>
    </w:tbl>
    <w:p>
      <w:pPr>
        <w:spacing w:before="60" w:after="60"/>
      </w:pPr>
      <w:r>
        <w:t xml:space="preserve"/>
      </w:r>
    </w:p>
    <w:p>
      <w:pPr>
        <w:spacing w:before="80" w:after="80"/>
      </w:pPr>
      <w:r>
        <w:rPr>
          <w:rFonts w:ascii="Arial" w:cs="Arial" w:eastAsia="Arial" w:hAnsi="Arial"/>
          <w:sz w:val="22"/>
          <w:szCs w:val="22"/>
        </w:rPr>
        <w:t xml:space="preserve">🔑 Avantage concurrentiel clé sur ce segment : production locale + traçabilité totale + fraîcheur des extraits = différenciation forte face aux poudres importées. Marché de niche sans concurrent local identifié en Gironde.</w:t>
      </w:r>
    </w:p>
    <w:p>
      <w:pPr>
        <w:spacing w:before="60" w:after="60"/>
      </w:pPr>
      <w:r>
        <w:t xml:space="preserve"/>
      </w:r>
    </w:p>
    <w:p>
      <w:r>
        <w:br w:type="page"/>
      </w:r>
    </w:p>
    <w:p>
      <w:pPr>
        <w:pStyle w:val="Heading1"/>
        <w:spacing w:before="320" w:after="160"/>
      </w:pPr>
      <w:r>
        <w:rPr>
          <w:rFonts w:ascii="Arial" w:cs="Arial" w:eastAsia="Arial" w:hAnsi="Arial"/>
          <w:b/>
          <w:bCs/>
          <w:color w:val="2D6A4F"/>
          <w:sz w:val="32"/>
          <w:szCs w:val="32"/>
        </w:rPr>
        <w:t xml:space="preserve">Clientèle cible et quantification</w:t>
      </w:r>
    </w:p>
    <w:p>
      <w:pPr>
        <w:pStyle w:val="Heading2"/>
        <w:spacing w:before="240" w:after="120"/>
      </w:pPr>
      <w:r>
        <w:rPr>
          <w:rFonts w:ascii="Arial" w:cs="Arial" w:eastAsia="Arial" w:hAnsi="Arial"/>
          <w:b/>
          <w:bCs/>
          <w:color w:val="40916C"/>
          <w:sz w:val="26"/>
          <w:szCs w:val="26"/>
        </w:rPr>
        <w:t xml:space="preserve">Profils clients</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6"/>
        <w:gridCol w:w="2000"/>
        <w:gridCol w:w="2500"/>
      </w:tblGrid>
      <w:tr>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W w:type="dxa" w:w="2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Nb estimé (Métropole)</w:t>
            </w:r>
          </w:p>
        </w:tc>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 phase 1</w:t>
            </w:r>
          </w:p>
        </w:tc>
      </w:tr>
      <w:tr>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Restaurateurs gastronomiques</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Chefs étoilés, bistronomie, recherche produits locaux rares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~150–200 établissements</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Prioritaire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Restauration traditionnelle</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Carte de saison, approvisionnement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~800–1 000 établissements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Phase 2</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Épiceries fines &amp; cavistes</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Clientèle CSP+, sensible au local et à la qualité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~50–80 points de vente</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Prioritaire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Magasins bio</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Biocoop, Day by Day, indépendants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~30–40 points de vente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Phase 1</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Particuliers — marchés</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Consommateurs CSP+, curieux, nutrition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200–500 pers./jour par marché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Phase 1</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Bien-être / compléments</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Mycothérapie, naturopathes, thérapeutes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national via web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Phase 2</w:t>
            </w:r>
          </w:p>
        </w:tc>
      </w:tr>
    </w:tbl>
    <w:p>
      <w:pPr>
        <w:spacing w:before="60" w:after="60"/>
      </w:pPr>
      <w:r>
        <w:t xml:space="preserve"/>
      </w:r>
    </w:p>
    <w:p>
      <w:pPr>
        <w:pStyle w:val="Heading2"/>
        <w:spacing w:before="240" w:after="120"/>
      </w:pPr>
      <w:r>
        <w:rPr>
          <w:rFonts w:ascii="Arial" w:cs="Arial" w:eastAsia="Arial" w:hAnsi="Arial"/>
          <w:b/>
          <w:bCs/>
          <w:color w:val="40916C"/>
          <w:sz w:val="26"/>
          <w:szCs w:val="26"/>
        </w:rPr>
        <w:t xml:space="preserve">Quantification clientèle potentielle (données INSEE)</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2506"/>
        <w:gridCol w:w="2000"/>
      </w:tblGrid>
      <w:tr>
        <w:tc>
          <w:tcPr>
            <w:tcW w:type="dxa" w:w="5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Donnée</w:t>
            </w:r>
          </w:p>
        </w:tc>
        <w:tc>
          <w:tcPr>
            <w:tcW w:type="dxa" w:w="2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Population Bordeaux Métropole</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854 334 hab.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INSEE 2023</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Ménages estimés (~2,2 pers./ménage)</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~388 000 ménages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INSEE</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 ménages CSP+ (revenu &gt; moyenne nationale)</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 → 136 000 ménages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INSEE revenus</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Consommateurs potentiels champignons spécialisés (10% des CSP+)</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~13 600 ménages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Estimation terrain</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Panier moyen annuel estimé (1 achat/mois × 5 €)</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60 €/an/ménage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Hypothèse</w:t>
            </w:r>
          </w:p>
        </w:tc>
      </w:tr>
      <w:tr>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potentiel particuliers</w:t>
            </w:r>
          </w:p>
        </w:tc>
        <w:tc>
          <w:tcPr>
            <w:tcW w:type="dxa" w:w="2506"/>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~816 000 €/an</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Calcul</w:t>
            </w:r>
          </w:p>
        </w:tc>
      </w:tr>
    </w:tbl>
    <w:p>
      <w:pPr>
        <w:spacing w:before="60" w:after="60"/>
      </w:pPr>
      <w:r>
        <w:t xml:space="preserve"/>
      </w:r>
    </w:p>
    <w:p>
      <w:pPr>
        <w:spacing w:before="80" w:after="80"/>
      </w:pPr>
      <w:r>
        <w:rPr>
          <w:rFonts w:ascii="Arial" w:cs="Arial" w:eastAsia="Arial" w:hAnsi="Arial"/>
          <w:i/>
          <w:iCs/>
          <w:color w:val="666666"/>
          <w:sz w:val="22"/>
          <w:szCs w:val="22"/>
        </w:rPr>
        <w:t xml:space="preserve">Note : estimation conservative. Le B2B (restauration, épiceries) représente généralement 60–70% du CA d'un producteur de champignons spécialisés et n'est pas intégré dans ce calcul.</w:t>
      </w:r>
    </w:p>
    <w:p>
      <w:pPr>
        <w:spacing w:before="60" w:after="60"/>
      </w:pPr>
      <w:r>
        <w:t xml:space="preserve"/>
      </w:r>
    </w:p>
    <w:p>
      <w:r>
        <w:br w:type="page"/>
      </w:r>
    </w:p>
    <w:p>
      <w:pPr>
        <w:pStyle w:val="Heading1"/>
        <w:spacing w:before="320" w:after="160"/>
      </w:pPr>
      <w:r>
        <w:rPr>
          <w:rFonts w:ascii="Arial" w:cs="Arial" w:eastAsia="Arial" w:hAnsi="Arial"/>
          <w:b/>
          <w:bCs/>
          <w:color w:val="2D6A4F"/>
          <w:sz w:val="32"/>
          <w:szCs w:val="32"/>
        </w:rPr>
        <w:t xml:space="preserve">2. Opportunités du territoire</w:t>
      </w:r>
    </w:p>
    <w:p>
      <w:pPr>
        <w:pStyle w:val="Heading2"/>
        <w:spacing w:before="240" w:after="120"/>
      </w:pPr>
      <w:r>
        <w:rPr>
          <w:rFonts w:ascii="Arial" w:cs="Arial" w:eastAsia="Arial" w:hAnsi="Arial"/>
          <w:b/>
          <w:bCs/>
          <w:color w:val="40916C"/>
          <w:sz w:val="26"/>
          <w:szCs w:val="26"/>
        </w:rPr>
        <w:t xml:space="preserve">2.1 Marchés de plein air</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1506"/>
        <w:gridCol w:w="2500"/>
        <w:gridCol w:w="1500"/>
        <w:gridCol w:w="1500"/>
      </w:tblGrid>
      <w:tr>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Marché</w:t>
            </w:r>
          </w:p>
        </w:tc>
        <w:tc>
          <w:tcPr>
            <w:tcW w:type="dxa" w:w="1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Caractère</w:t>
            </w:r>
          </w:p>
        </w:tc>
        <w:tc>
          <w:tcPr>
            <w:tcW w:type="dxa" w:w="1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Public cible</w:t>
            </w:r>
          </w:p>
        </w:tc>
        <w:tc>
          <w:tcPr>
            <w:tcW w:type="dxa" w:w="1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Pertinence</w:t>
            </w:r>
          </w:p>
        </w:tc>
      </w:tr>
      <w:tr>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des Capucins</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Quotidien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Emblématique gastronomie bordelaise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Touristes + locaux CSP+</w:t>
            </w:r>
          </w:p>
        </w:tc>
        <w:tc>
          <w:tcPr>
            <w:tcW w:type="dxa" w:w="1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Saint-Seurin</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Vendredi matin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Producteurs bio et du terroir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Locaux CSP+</w:t>
            </w:r>
          </w:p>
        </w:tc>
        <w:tc>
          <w:tcPr>
            <w:tcW w:type="dxa" w:w="1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Pey Berland</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Mercredi + dimanche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producteurs, terroir local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Locaux familles</w:t>
            </w:r>
          </w:p>
        </w:tc>
        <w:tc>
          <w:tcPr>
            <w:tcW w:type="dxa" w:w="1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Saint-Augustin</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Mercredi + samedi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Producteurs locaux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Résidents quartier</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de Bourrec (Pessac)</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Hebdomadaire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 commerçants, alimentation locale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Familles</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 de Gradignan</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Hebdomadaire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Producteurs locaux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Locaux</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bl>
    <w:p>
      <w:pPr>
        <w:spacing w:before="60" w:after="60"/>
      </w:pPr>
      <w:r>
        <w:t xml:space="preserve"/>
      </w:r>
    </w:p>
    <w:p>
      <w:pPr>
        <w:pStyle w:val="Heading2"/>
        <w:spacing w:before="240" w:after="120"/>
      </w:pPr>
      <w:r>
        <w:rPr>
          <w:rFonts w:ascii="Arial" w:cs="Arial" w:eastAsia="Arial" w:hAnsi="Arial"/>
          <w:b/>
          <w:bCs/>
          <w:color w:val="40916C"/>
          <w:sz w:val="26"/>
          <w:szCs w:val="26"/>
        </w:rPr>
        <w:t xml:space="preserve">2.2 Circuits courts et plateformes en ligne</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506"/>
        <w:gridCol w:w="3200"/>
        <w:gridCol w:w="2000"/>
      </w:tblGrid>
      <w:tr>
        <w:tc>
          <w:tcPr>
            <w:tcW w:type="dxa" w:w="28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Plateforme / Réseau</w:t>
            </w:r>
          </w:p>
        </w:tc>
        <w:tc>
          <w:tcPr>
            <w:tcW w:type="dxa" w:w="1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32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Pertinence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Manger Local — Bordeaux Métropole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Cartographie officielle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148 exploitations et +130 points de vente recensés</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Locavor.fr</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Plateforme web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Vente directe producteurs en ligne</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Boutique en ligne propre</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E-commerce direct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Indispensable pour champignons bien-être (national)</w:t>
            </w:r>
          </w:p>
        </w:tc>
        <w:tc>
          <w:tcPr>
            <w:tcW w:type="dxa" w:w="2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Drive Fermier</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Commande + retrait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Commande en ligne, retrait directement chez le producteur</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AMAP Bordeaux</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Panier abonnement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Plusieurs AMAP dans différents quartiers de Bordeaux</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Producteurs-girondins.fr</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Référencement département, visibilité locale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bl>
    <w:p>
      <w:pPr>
        <w:spacing w:before="60" w:after="60"/>
      </w:pPr>
      <w:r>
        <w:t xml:space="preserve"/>
      </w:r>
    </w:p>
    <w:p>
      <w:pPr>
        <w:pStyle w:val="Heading2"/>
        <w:spacing w:before="240" w:after="120"/>
      </w:pPr>
      <w:r>
        <w:rPr>
          <w:rFonts w:ascii="Arial" w:cs="Arial" w:eastAsia="Arial" w:hAnsi="Arial"/>
          <w:b/>
          <w:bCs/>
          <w:color w:val="40916C"/>
          <w:sz w:val="26"/>
          <w:szCs w:val="26"/>
        </w:rPr>
        <w:t xml:space="preserve">2.3 Activité touristique, associative et culturelle</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4206"/>
        <w:gridCol w:w="2500"/>
      </w:tblGrid>
      <w:tr>
        <w:tc>
          <w:tcPr>
            <w:tcW w:type="dxa" w:w="28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Opportunité</w:t>
            </w:r>
          </w:p>
        </w:tc>
        <w:tc>
          <w:tcPr>
            <w:tcW w:type="dxa" w:w="42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5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Pertinence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Tourisme œnotouristique</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Bordeaux 1ère destination œnotouristique mondiale — flux de touristes CSP+ sensibles aux produits locaux premium</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Restaurants gastronomiques</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Nombreux établissements étoilés et bistronomiques — réseau gastronomique bordelais déjà actif</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Marchés des Producteurs de Pays</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Marchés 100% producteurs avec charte, dimension festive, vitrine des savoir-faire régionaux</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Réseau Bienvenue à la Ferme</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Vente directe à la ferme, labellisation nationale, annuaire national</w:t>
            </w:r>
          </w:p>
        </w:tc>
        <w:tc>
          <w:tcPr>
            <w:tcW w:type="dxa" w:w="2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Naturopathes &amp; praticiens bien-être</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Réseau de prescripteurs pour champignons médicinaux — clientèle déjà convaincue, vecteur de recommandation fort</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Restauration collective (phase 2)</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Cantines, hôpitaux, EHPAD — marché de volume si production suffisante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Bordeaux Métropole — agriculture périurbaine</w:t>
            </w:r>
          </w:p>
        </w:tc>
        <w:tc>
          <w:tcPr>
            <w:tcW w:type="dxa" w:w="4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Engagement institutionnel fort sur l'installation agricole périurbaine — soutien potentiel, accès foncier facilité</w:t>
            </w:r>
          </w:p>
        </w:tc>
        <w:tc>
          <w:tcPr>
            <w:tcW w:type="dxa" w:w="2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w:t>
            </w:r>
          </w:p>
        </w:tc>
      </w:tr>
    </w:tbl>
    <w:p>
      <w:pPr>
        <w:spacing w:before="60" w:after="60"/>
      </w:pPr>
      <w:r>
        <w:t xml:space="preserve"/>
      </w:r>
    </w:p>
    <w:p>
      <w:r>
        <w:br w:type="page"/>
      </w:r>
    </w:p>
    <w:p>
      <w:pPr>
        <w:pStyle w:val="Heading1"/>
        <w:spacing w:before="320" w:after="160"/>
      </w:pPr>
      <w:r>
        <w:rPr>
          <w:rFonts w:ascii="Arial" w:cs="Arial" w:eastAsia="Arial" w:hAnsi="Arial"/>
          <w:b/>
          <w:bCs/>
          <w:color w:val="2D6A4F"/>
          <w:sz w:val="32"/>
          <w:szCs w:val="32"/>
        </w:rPr>
        <w:t xml:space="preserve">Synthèse — Forces du territoire</w:t>
      </w:r>
    </w:p>
    <w:p>
      <w:pPr>
        <w:spacing w:before="60" w:after="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Force du territoire</w:t>
            </w:r>
          </w:p>
        </w:tc>
        <w:tc>
          <w:tcPr>
            <w:tcW w:type="dxa" w:w="4506"/>
            <w:gridSpan w:val="1"/>
            <w:tcBorders>
              <w:top w:val="single" w:color="CCCCCC" w:sz="1"/>
              <w:left w:val="single" w:color="CCCCCC" w:sz="1"/>
              <w:bottom w:val="single" w:color="CCCCCC" w:sz="1"/>
              <w:right w:val="single" w:color="CCCCCC" w:sz="1"/>
            </w:tcBorders>
            <w:shd w:fill="40916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sur le projet</w:t>
            </w:r>
          </w:p>
        </w:tc>
      </w:tr>
      <w:tr>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Métropole de 854 000 hab. en croissance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Bassin de consommation large et solvable</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Revenu moyen supérieur à la moyenne nationale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Clientèle capable d'acheter premium</w:t>
            </w:r>
          </w:p>
        </w:tc>
      </w:tr>
      <w:tr>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Aucun concurrent sur le médicinal en local</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vierge sur le segment bien-être — 1er entrant</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 seul concurrent direct sur le frais spécialisé</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Marché peu saturé, place disponible</w:t>
            </w:r>
          </w:p>
        </w:tc>
      </w:tr>
      <w:tr>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Fort dynamisme œnotouristique et gastronomique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Débouchés HoReCa premium immédiatement accessibles</w:t>
            </w:r>
          </w:p>
        </w:tc>
      </w:tr>
      <w:tr>
        <w:tc>
          <w:tcPr>
            <w:tcW w:type="dxa" w:w="5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Réseau circuits courts structuré</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Canaux de distribution disponibles et matures</w:t>
            </w:r>
          </w:p>
        </w:tc>
      </w:tr>
      <w:tr>
        <w:tc>
          <w:tcPr>
            <w:tcW w:type="dxa" w:w="5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Bordeaux Métropole engagée sur l'agriculture périurbaine</w:t>
            </w:r>
          </w:p>
        </w:tc>
        <w:tc>
          <w:tcPr>
            <w:tcW w:type="dxa" w:w="4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Soutien institutionnel potentiel à l'installation</w:t>
            </w:r>
          </w:p>
        </w:tc>
      </w:tr>
    </w:tbl>
    <w:p>
      <w:pPr>
        <w:spacing w:before="60" w:after="60"/>
      </w:pPr>
      <w:r>
        <w:t xml:space="preserve"/>
      </w:r>
    </w:p>
    <w:p>
      <w:pPr>
        <w:spacing w:before="60" w:after="60"/>
      </w:pPr>
      <w:r>
        <w:t xml:space="preserve"/>
      </w:r>
    </w:p>
    <w:p>
      <w:pPr>
        <w:jc w:val="center"/>
      </w:pPr>
      <w:r>
        <w:rPr>
          <w:rFonts w:ascii="Arial" w:cs="Arial" w:eastAsia="Arial" w:hAnsi="Arial"/>
          <w:i/>
          <w:iCs/>
          <w:color w:val="999999"/>
          <w:sz w:val="18"/>
          <w:szCs w:val="18"/>
        </w:rPr>
        <w:t xml:space="preserve">— Exercice réalisé dans le cadre du BPREA — Mars 2026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6A4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0916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2026-03-10T13:45:00.315Z</dcterms:created>
  <dcterms:modified xsi:type="dcterms:W3CDTF">2026-03-10T13:45:00.316Z</dcterms:modified>
</cp:coreProperties>
</file>

<file path=docProps/custom.xml><?xml version="1.0" encoding="utf-8"?>
<Properties xmlns="http://schemas.openxmlformats.org/officeDocument/2006/custom-properties" xmlns:vt="http://schemas.openxmlformats.org/officeDocument/2006/docPropsVTypes"/>
</file>