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pPr>
      <w:r>
        <w:rPr>
          <w:b/>
          <w:bCs/>
          <w:color w:val="1F3864"/>
          <w:sz w:val="56"/>
          <w:szCs w:val="56"/>
        </w:rPr>
        <w:t xml:space="preserve">SecureMesh</w:t>
      </w:r>
    </w:p>
    <w:p>
      <w:pPr>
        <w:spacing w:after="320"/>
      </w:pPr>
      <w:r>
        <w:rPr>
          <w:color w:val="404040"/>
          <w:sz w:val="28"/>
          <w:szCs w:val="28"/>
        </w:rPr>
        <w:t xml:space="preserve">Local-First Secure Edge-Computing Platform for Disaster Management</w:t>
      </w:r>
    </w:p>
    <w:p>
      <w:pPr>
        <w:spacing w:after="100"/>
      </w:pPr>
      <w:r>
        <w:rPr>
          <w:b/>
          <w:bCs/>
          <w:sz w:val="26"/>
          <w:szCs w:val="26"/>
        </w:rPr>
        <w:t xml:space="preserve">Technical Report</w:t>
      </w:r>
    </w:p>
    <w:p>
      <w:pPr>
        <w:spacing w:after="130" w:line="280"/>
      </w:pPr>
      <w:r>
        <w:rPr>
          <w:color w:val="595959"/>
        </w:rPr>
        <w:t xml:space="preserve">Smart India Hackathon 2026  ·  Problem Statement SIH26223  ·  Hardware · Disaster Management · AICTE</w:t>
      </w:r>
    </w:p>
    <w:p>
      <w:pPr>
        <w:spacing w:after="130" w:line="280"/>
      </w:pPr>
      <w:r>
        <w:rPr>
          <w:color w:val="595959"/>
        </w:rPr>
        <w:t xml:space="preserve">Reporting period: project inception to 22 September 2026</w:t>
      </w:r>
    </w:p>
    <w:p>
      <w:pPr>
        <w:pBdr>
          <w:top w:val="single" w:color="1F3864" w:sz="6"/>
        </w:pBdr>
        <w:spacing w:after="180" w:before="220"/>
      </w:pPr>
    </w:p>
    <w:p>
      <w:pPr>
        <w:spacing w:after="130" w:line="280"/>
      </w:pPr>
      <w:r>
        <w:rPr>
          <w:i/>
          <w:iCs/>
        </w:rPr>
        <w:t xml:space="preserve">This report describes the system as actually built and measured. Every figure quoted is reproducible from the repository. Capabilities that are designed but not implemented, and measurements not yet taken, are identified as such rather than omitted.</w:t>
      </w:r>
    </w:p>
    <w:p>
      <w:r>
        <w:br w:type="page"/>
      </w:r>
    </w:p>
    <w:p>
      <w:pPr>
        <w:pStyle w:val="Heading1"/>
        <w:spacing w:after="140" w:before="300"/>
      </w:pPr>
      <w:r>
        <w:t xml:space="preserve">Contents</w:t>
      </w:r>
    </w:p>
    <w:sdt>
      <w:sdtPr>
        <w:alias w:val="Contents"/>
      </w:sdtPr>
      <w:sdtContent>
        <w:p>
          <w:r>
            <w:fldChar w:fldCharType="begin" w:dirty="true"/>
            <w:instrText xml:space="preserve">TOC \o "1-2"</w:instrText>
            <w:fldChar w:fldCharType="separate"/>
          </w:r>
        </w:p>
        <w:p>
          <w:r>
            <w:fldChar w:fldCharType="end"/>
          </w:r>
        </w:p>
      </w:sdtContent>
    </w:sdt>
    <w:p>
      <w:r>
        <w:br w:type="page"/>
      </w:r>
    </w:p>
    <w:p>
      <w:pPr>
        <w:pStyle w:val="Heading1"/>
        <w:spacing w:after="140" w:before="300"/>
      </w:pPr>
      <w:r>
        <w:t xml:space="preserve">1. Executive summary</w:t>
      </w:r>
    </w:p>
    <w:p>
      <w:pPr>
        <w:spacing w:after="130" w:line="280"/>
      </w:pPr>
      <w:r>
        <w:t xml:space="preserve">SecureMesh is a self-contained disaster-response platform for environments where infrastructure has failed. Nodes hold cryptographic identities, discover one another on a local network with no server, authenticate over encrypted QUIC, and replicate signed incident records that converge correctly across partitions, restarts and out-of-order delivery. A separate local intelligence layer analyses those records on-device. Neither depends on the internet, and no external API is contacted at any point.</w:t>
      </w:r>
    </w:p>
    <w:p>
      <w:pPr>
        <w:spacing w:after="130" w:line="280"/>
      </w:pPr>
      <w:r>
        <w:t xml:space="preserve">Work completed since the idea submission centres on that intelligence layer. A domain-specialised small language model was produced by fine-tuning Qwen2.5-1.5B-Instruct on a purpose-built corpus, exported to a 940 MiB quantized artifact, and evaluated against the stock model on a held-out set under identical conditions. On 144 unseen reports it raised category accuracy from 55.2% to 88.2%, access-status accuracy from 9.1% to 68.1%, and fully-correct analyses from 3.5% to 30.6%, while reducing mean latency from 3.34 s to 2.48 s.</w:t>
      </w:r>
    </w:p>
    <w:p>
      <w:pPr>
        <w:spacing w:after="130" w:line="280"/>
      </w:pPr>
      <w:r>
        <w:t xml:space="preserve">Equally important is what the work established could not be claimed. Prompt injection through report text is contained structurally but is not solved at the model level: both the stock and the fine-tuned model adopt injected field values. The response was engineering rather than assertion. A deterministic consistency layer now cross-checks every model answer against rule-derived evidence and raises an operator-review signal on disagreement, without ever altering what the model said.</w:t>
      </w:r>
    </w:p>
    <w:p>
      <w:pPr>
        <w:spacing w:after="130" w:line="280"/>
      </w:pPr>
      <w:r>
        <w:t xml:space="preserve">The system carries 759 automated Rust tests and 116 frontend tests, all passing. It is a prototype. It is not security-reviewed and must not be used to handle real operational data.</w:t>
      </w:r>
    </w:p>
    <w:p>
      <w:pPr>
        <w:pStyle w:val="Heading1"/>
        <w:spacing w:after="140" w:before="300"/>
      </w:pPr>
      <w:r>
        <w:t xml:space="preserve">2. Problem and approach</w:t>
      </w:r>
    </w:p>
    <w:p>
      <w:pPr>
        <w:spacing w:after="130" w:line="280"/>
      </w:pPr>
      <w:r>
        <w:t xml:space="preserve">When infrastructure fails, the software built on top of it fails with it. Disaster response depends on tools that assume connectivity, a reachable server and a cloud API, which are precisely the assumptions a disaster invalidates. The problem statement calls for local-first secure edge computing for disaster management.</w:t>
      </w:r>
    </w:p>
    <w:p>
      <w:pPr>
        <w:spacing w:after="130" w:line="280"/>
      </w:pPr>
      <w:r>
        <w:t xml:space="preserve">SecureMesh treats offline operation as the normal case rather than a degraded one. Three commitments follow from that.</w:t>
      </w:r>
    </w:p>
    <w:p>
      <w:pPr>
        <w:pStyle w:val="ListParagraph"/>
        <w:numPr>
          <w:ilvl w:val="0"/>
          <w:numId w:val="2"/>
        </w:numPr>
        <w:spacing w:after="90" w:line="280"/>
      </w:pPr>
      <w:r>
        <w:t xml:space="preserve">No mandatory cloud. There is no API key to configure and no endpoint to reach. Local inference runs as a child process reached over the loopback interface only.</w:t>
      </w:r>
    </w:p>
    <w:p>
      <w:pPr>
        <w:pStyle w:val="ListParagraph"/>
        <w:numPr>
          <w:ilvl w:val="0"/>
          <w:numId w:val="2"/>
        </w:numPr>
        <w:spacing w:after="90" w:line="280"/>
      </w:pPr>
      <w:r>
        <w:t xml:space="preserve">The record is authoritative; the inference is not. Incidents and their signed events are the source of truth, and anything a model derives is a local opinion, attributable to a named model and discardable without loss.</w:t>
      </w:r>
    </w:p>
    <w:p>
      <w:pPr>
        <w:pStyle w:val="ListParagraph"/>
        <w:numPr>
          <w:ilvl w:val="0"/>
          <w:numId w:val="2"/>
        </w:numPr>
        <w:spacing w:after="90" w:line="280"/>
      </w:pPr>
      <w:r>
        <w:t xml:space="preserve">Degradation is designed, not accidental. A node with no model provisioned keeps capturing and replicating incidents. Intelligence is a layer on top, never a dependency.</w:t>
      </w:r>
    </w:p>
    <w:p>
      <w:pPr>
        <w:pStyle w:val="Heading1"/>
        <w:spacing w:after="140" w:before="300"/>
      </w:pPr>
      <w:r>
        <w:t xml:space="preserve">3. System architecture</w:t>
      </w:r>
    </w:p>
    <w:p>
      <w:pPr>
        <w:spacing w:after="130" w:line="280"/>
      </w:pPr>
      <w:r>
        <w:t xml:space="preserve">The application is a Tauri 2 desktop node: a Rust core with a React 19 and TypeScript interface. The core is layered so that the domain model, storage, networking and intelligence are independently testable, and so that the interface reaches the core only through typed commands.</w:t>
      </w:r>
    </w:p>
    <w:p>
      <w:pPr>
        <w:spacing w:after="130" w:line="280"/>
      </w:pPr>
      <w:r>
        <w:t xml:space="preserve">Two subsystems run side by side and are deliberately independent of one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26"/>
      </w:tblGrid>
      <w:tr>
        <w:trPr>
          <w:tblHeader/>
        </w:trPr>
        <w:tc>
          <w:tcPr>
            <w:tcW w:type="dxa" w:w="1700"/>
            <w:shd w:fill="F2F2F2" w:color="auto" w:val="clear"/>
            <w:tcMar>
              <w:top w:type="dxa" w:w="70"/>
              <w:left w:type="dxa" w:w="120"/>
              <w:bottom w:type="dxa" w:w="70"/>
              <w:right w:type="dxa" w:w="120"/>
            </w:tcMar>
          </w:tcPr>
          <w:p>
            <w:r>
              <w:rPr>
                <w:b/>
                <w:bCs/>
                <w:sz w:val="19"/>
                <w:szCs w:val="19"/>
              </w:rPr>
              <w:t xml:space="preserve">Subsystem</w:t>
            </w:r>
          </w:p>
        </w:tc>
        <w:tc>
          <w:tcPr>
            <w:tcW w:type="dxa" w:w="4600"/>
            <w:shd w:fill="F2F2F2" w:color="auto" w:val="clear"/>
            <w:tcMar>
              <w:top w:type="dxa" w:w="70"/>
              <w:left w:type="dxa" w:w="120"/>
              <w:bottom w:type="dxa" w:w="70"/>
              <w:right w:type="dxa" w:w="120"/>
            </w:tcMar>
          </w:tcPr>
          <w:p>
            <w:r>
              <w:rPr>
                <w:b/>
                <w:bCs/>
                <w:sz w:val="19"/>
                <w:szCs w:val="19"/>
              </w:rPr>
              <w:t xml:space="preserve">Responsibility</w:t>
            </w:r>
          </w:p>
        </w:tc>
        <w:tc>
          <w:tcPr>
            <w:tcW w:type="dxa" w:w="2726"/>
            <w:shd w:fill="F2F2F2" w:color="auto" w:val="clear"/>
            <w:tcMar>
              <w:top w:type="dxa" w:w="70"/>
              <w:left w:type="dxa" w:w="120"/>
              <w:bottom w:type="dxa" w:w="70"/>
              <w:right w:type="dxa" w:w="120"/>
            </w:tcMar>
          </w:tcPr>
          <w:p>
            <w:r>
              <w:rPr>
                <w:b/>
                <w:bCs/>
                <w:sz w:val="19"/>
                <w:szCs w:val="19"/>
              </w:rPr>
              <w:t xml:space="preserve">Dependency on the other</w:t>
            </w:r>
          </w:p>
        </w:tc>
      </w:tr>
      <w:tr>
        <w:tc>
          <w:tcPr>
            <w:tcW w:type="dxa" w:w="1700"/>
            <w:tcMar>
              <w:top w:type="dxa" w:w="70"/>
              <w:left w:type="dxa" w:w="120"/>
              <w:bottom w:type="dxa" w:w="70"/>
              <w:right w:type="dxa" w:w="120"/>
            </w:tcMar>
          </w:tcPr>
          <w:p>
            <w:r>
              <w:rPr>
                <w:b w:val="false"/>
                <w:bCs w:val="false"/>
                <w:sz w:val="19"/>
                <w:szCs w:val="19"/>
              </w:rPr>
              <w:t xml:space="preserve">Mesh</w:t>
            </w:r>
          </w:p>
        </w:tc>
        <w:tc>
          <w:tcPr>
            <w:tcW w:type="dxa" w:w="4600"/>
            <w:tcMar>
              <w:top w:type="dxa" w:w="70"/>
              <w:left w:type="dxa" w:w="120"/>
              <w:bottom w:type="dxa" w:w="70"/>
              <w:right w:type="dxa" w:w="120"/>
            </w:tcMar>
          </w:tcPr>
          <w:p>
            <w:r>
              <w:rPr>
                <w:b w:val="false"/>
                <w:bCs w:val="false"/>
                <w:sz w:val="19"/>
                <w:szCs w:val="19"/>
              </w:rPr>
              <w:t xml:space="preserve">Identity, signed event log, peer discovery, authenticated transport, replication, trust decisions</w:t>
            </w:r>
          </w:p>
        </w:tc>
        <w:tc>
          <w:tcPr>
            <w:tcW w:type="dxa" w:w="2726"/>
            <w:tcMar>
              <w:top w:type="dxa" w:w="70"/>
              <w:left w:type="dxa" w:w="120"/>
              <w:bottom w:type="dxa" w:w="70"/>
              <w:right w:type="dxa" w:w="120"/>
            </w:tcMar>
          </w:tcPr>
          <w:p>
            <w:r>
              <w:rPr>
                <w:b w:val="false"/>
                <w:bCs w:val="false"/>
                <w:sz w:val="19"/>
                <w:szCs w:val="19"/>
              </w:rPr>
              <w:t xml:space="preserve">None. Moves records with no model involved</w:t>
            </w:r>
          </w:p>
        </w:tc>
      </w:tr>
      <w:tr>
        <w:tc>
          <w:tcPr>
            <w:tcW w:type="dxa" w:w="1700"/>
            <w:tcMar>
              <w:top w:type="dxa" w:w="70"/>
              <w:left w:type="dxa" w:w="120"/>
              <w:bottom w:type="dxa" w:w="70"/>
              <w:right w:type="dxa" w:w="120"/>
            </w:tcMar>
          </w:tcPr>
          <w:p>
            <w:r>
              <w:rPr>
                <w:b w:val="false"/>
                <w:bCs w:val="false"/>
                <w:sz w:val="19"/>
                <w:szCs w:val="19"/>
              </w:rPr>
              <w:t xml:space="preserve">Intelligence</w:t>
            </w:r>
          </w:p>
        </w:tc>
        <w:tc>
          <w:tcPr>
            <w:tcW w:type="dxa" w:w="4600"/>
            <w:tcMar>
              <w:top w:type="dxa" w:w="70"/>
              <w:left w:type="dxa" w:w="120"/>
              <w:bottom w:type="dxa" w:w="70"/>
              <w:right w:type="dxa" w:w="120"/>
            </w:tcMar>
          </w:tcPr>
          <w:p>
            <w:r>
              <w:rPr>
                <w:b w:val="false"/>
                <w:bCs w:val="false"/>
                <w:sz w:val="19"/>
                <w:szCs w:val="19"/>
              </w:rPr>
              <w:t xml:space="preserve">Deterministic text analysis, retrieval, optional on-device generation, consistency checking</w:t>
            </w:r>
          </w:p>
        </w:tc>
        <w:tc>
          <w:tcPr>
            <w:tcW w:type="dxa" w:w="2726"/>
            <w:tcMar>
              <w:top w:type="dxa" w:w="70"/>
              <w:left w:type="dxa" w:w="120"/>
              <w:bottom w:type="dxa" w:w="70"/>
              <w:right w:type="dxa" w:w="120"/>
            </w:tcMar>
          </w:tcPr>
          <w:p>
            <w:r>
              <w:rPr>
                <w:b w:val="false"/>
                <w:bCs w:val="false"/>
                <w:sz w:val="19"/>
                <w:szCs w:val="19"/>
              </w:rPr>
              <w:t xml:space="preserve">None. Never touches the network on its own</w:t>
            </w:r>
          </w:p>
        </w:tc>
      </w:tr>
    </w:tbl>
    <w:p>
      <w:pPr>
        <w:spacing w:after="180"/>
      </w:pPr>
    </w:p>
    <w:p>
      <w:pPr>
        <w:spacing w:after="130" w:line="280"/>
      </w:pPr>
      <w:r>
        <w:t xml:space="preserve">That separation is structural rather than conventional. The networking, synchronisation and identity modules contain no references to any analysis type, and the intelligence modules hold no handle to the keystore, the trust store or the synchronisation engine. A model cannot enrol a peer or read a key because no code path connects them.</w:t>
      </w:r>
    </w:p>
    <w:p>
      <w:pPr>
        <w:pStyle w:val="Heading1"/>
        <w:spacing w:after="140" w:before="300"/>
      </w:pPr>
      <w:r>
        <w:t xml:space="preserve">4. Mesh networking</w:t>
      </w:r>
    </w:p>
    <w:p>
      <w:pPr>
        <w:spacing w:after="130" w:line="280"/>
      </w:pPr>
      <w:r>
        <w:t xml:space="preserve">Implemented and verified. Peers are discovered by mDNS on the local link with no bootstrap server. Sessions run over QUIC, and the peer identity is bound to the node’s Ed25519 key, so the handshake is the authentication. Every event carries its author’s signature, verified on receipt against the origin’s key, which is what makes multi-hop relaying safe.</w:t>
      </w:r>
    </w:p>
    <w:p>
      <w:pPr>
        <w:spacing w:after="130" w:line="280"/>
      </w:pPr>
      <w:r>
        <w:t xml:space="preserve">Authentication grants nothing on its own. A peer must be explicitly enrolled by an operator before any record is exchanged, and trust decisions are recorded in a signed local audit trail. Synchronisation is caused by events — a new incident, a connection, an approval, a restart — rather than by periodic polling.</w:t>
      </w:r>
    </w:p>
    <w:p>
      <w:pPr>
        <w:spacing w:after="130" w:line="280"/>
      </w:pPr>
      <w:r>
        <w:t xml:space="preserve">The event log is append-only, which is what makes conflict-free merging possible. Incidents are immutable once created and updates are appended as observations. Equivocation by a peer is detected and both versions are retained rather than one silently overwriting the other.</w:t>
      </w:r>
    </w:p>
    <w:p>
      <w:pPr>
        <w:pStyle w:val="Heading1"/>
        <w:spacing w:after="140" w:before="300"/>
      </w:pPr>
      <w:r>
        <w:t xml:space="preserve">5. Local intelligence layer</w:t>
      </w:r>
    </w:p>
    <w:p>
      <w:pPr>
        <w:pStyle w:val="Heading2"/>
        <w:spacing w:after="140" w:before="300"/>
      </w:pPr>
      <w:r>
        <w:t xml:space="preserve">5.1 Deterministic analysis with no model</w:t>
      </w:r>
    </w:p>
    <w:p>
      <w:pPr>
        <w:spacing w:after="130" w:line="280"/>
      </w:pPr>
      <w:r>
        <w:t xml:space="preserve">A rule-based layer extracts hazards, people counts, locations, routes, quantities and an explainable severity assessment from incident text. It requires no model, is pure and total, and never fails: an unintelligible report yields an empty extraction rather than an error. Because it is deterministic, it also serves as independent evidence against which model output can be checked, which is the role it plays in Section 8.</w:t>
      </w:r>
    </w:p>
    <w:p>
      <w:pPr>
        <w:pStyle w:val="Heading2"/>
        <w:spacing w:after="140" w:before="300"/>
      </w:pPr>
      <w:r>
        <w:t xml:space="preserve">5.2 Retrieval and operational knowledge</w:t>
      </w:r>
    </w:p>
    <w:p>
      <w:pPr>
        <w:spacing w:after="130" w:line="280"/>
      </w:pPr>
      <w:r>
        <w:t xml:space="preserve">Incidents and provisioned reference documents are embedded locally and indexed together, so a single question can retrieve both live incidents and standing guidance. Grounding is enforced structurally rather than requested: the answer schema requires the model to name the passages it used, so an answer cannot be returned without its sources.</w:t>
      </w:r>
    </w:p>
    <w:p>
      <w:pPr>
        <w:pStyle w:val="Heading2"/>
        <w:spacing w:after="140" w:before="300"/>
      </w:pPr>
      <w:r>
        <w:t xml:space="preserve">5.3 On-device generation</w:t>
      </w:r>
    </w:p>
    <w:p>
      <w:pPr>
        <w:spacing w:after="130" w:line="280"/>
      </w:pPr>
      <w:r>
        <w:t xml:space="preserve">The generation model runs as a supervised llama.cpp child process reached over loopback. A subprocess rather than linked bindings gives failure isolation, since a model that exhausts memory takes down a child process and not the node, and it gives a clean boundary, since the runtime shares no memory with SecureMesh and is handed nothing but text.</w:t>
      </w:r>
    </w:p>
    <w:p>
      <w:r>
        <w:br w:type="page"/>
      </w:r>
    </w:p>
    <w:p>
      <w:pPr>
        <w:pStyle w:val="Heading1"/>
        <w:spacing w:after="140" w:before="300"/>
      </w:pPr>
      <w:r>
        <w:t xml:space="preserve">6. SecureMesh-SLM: the fine-tuned model</w:t>
      </w:r>
    </w:p>
    <w:p>
      <w:pPr>
        <w:spacing w:after="130" w:line="280"/>
      </w:pPr>
      <w:r>
        <w:t xml:space="preserve">The stock general-purpose model performed poorly at the specific task of turning a field report into a structured analysis. A domain-specialised model was produced without changing the application architecture: the same prompt, the same schema, the same runtime, a different artifact.</w:t>
      </w:r>
    </w:p>
    <w:p>
      <w:pPr>
        <w:pStyle w:val="Heading2"/>
        <w:spacing w:after="140" w:before="300"/>
      </w:pPr>
      <w:r>
        <w:t xml:space="preserve">6.1 Corpus</w:t>
      </w:r>
    </w:p>
    <w:p>
      <w:pPr>
        <w:spacing w:after="130" w:line="280"/>
      </w:pPr>
      <w:r>
        <w:t xml:space="preserve">A corpus of 1,428 records was authored as 168 scenario families rather than generated blindly. Each family is one situation at several evidence levels, so severity varies because the evidence varies and not because of the category, which is the shortcut a naive corpus rewards. Contrastive, ambiguous, conflicting, false-positive, multi-message and non-emergency cases are all represented, with surface variation supplied by abbreviation and typographic styles.</w:t>
      </w:r>
    </w:p>
    <w:p>
      <w:pPr>
        <w:spacing w:after="130" w:line="280"/>
      </w:pPr>
      <w:r>
        <w:t xml:space="preserve">Splits are made by scenario family, never by record, so a paraphrase of a training example cannot appear in validation or test. Splitting is stratified by category so that every split sees every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400"/>
        <w:gridCol w:w="3726"/>
      </w:tblGrid>
      <w:tr>
        <w:trPr>
          <w:tblHeader/>
        </w:trPr>
        <w:tc>
          <w:tcPr>
            <w:tcW w:type="dxa" w:w="1500"/>
            <w:shd w:fill="F2F2F2" w:color="auto" w:val="clear"/>
            <w:tcMar>
              <w:top w:type="dxa" w:w="70"/>
              <w:left w:type="dxa" w:w="120"/>
              <w:bottom w:type="dxa" w:w="70"/>
              <w:right w:type="dxa" w:w="120"/>
            </w:tcMar>
          </w:tcPr>
          <w:p>
            <w:r>
              <w:rPr>
                <w:b/>
                <w:bCs/>
                <w:sz w:val="19"/>
                <w:szCs w:val="19"/>
              </w:rPr>
              <w:t xml:space="preserve">Split</w:t>
            </w:r>
          </w:p>
        </w:tc>
        <w:tc>
          <w:tcPr>
            <w:tcW w:type="dxa" w:w="1400"/>
            <w:shd w:fill="F2F2F2" w:color="auto" w:val="clear"/>
            <w:tcMar>
              <w:top w:type="dxa" w:w="70"/>
              <w:left w:type="dxa" w:w="120"/>
              <w:bottom w:type="dxa" w:w="70"/>
              <w:right w:type="dxa" w:w="120"/>
            </w:tcMar>
          </w:tcPr>
          <w:p>
            <w:r>
              <w:rPr>
                <w:b/>
                <w:bCs/>
                <w:sz w:val="19"/>
                <w:szCs w:val="19"/>
              </w:rPr>
              <w:t xml:space="preserve">Records</w:t>
            </w:r>
          </w:p>
        </w:tc>
        <w:tc>
          <w:tcPr>
            <w:tcW w:type="dxa" w:w="2400"/>
            <w:shd w:fill="F2F2F2" w:color="auto" w:val="clear"/>
            <w:tcMar>
              <w:top w:type="dxa" w:w="70"/>
              <w:left w:type="dxa" w:w="120"/>
              <w:bottom w:type="dxa" w:w="70"/>
              <w:right w:type="dxa" w:w="120"/>
            </w:tcMar>
          </w:tcPr>
          <w:p>
            <w:r>
              <w:rPr>
                <w:b/>
                <w:bCs/>
                <w:sz w:val="19"/>
                <w:szCs w:val="19"/>
              </w:rPr>
              <w:t xml:space="preserve">Scenario groups</w:t>
            </w:r>
          </w:p>
        </w:tc>
        <w:tc>
          <w:tcPr>
            <w:tcW w:type="dxa" w:w="3726"/>
            <w:shd w:fill="F2F2F2" w:color="auto" w:val="clear"/>
            <w:tcMar>
              <w:top w:type="dxa" w:w="70"/>
              <w:left w:type="dxa" w:w="120"/>
              <w:bottom w:type="dxa" w:w="70"/>
              <w:right w:type="dxa" w:w="120"/>
            </w:tcMar>
          </w:tcPr>
          <w:p>
            <w:r>
              <w:rPr>
                <w:b/>
                <w:bCs/>
                <w:sz w:val="19"/>
                <w:szCs w:val="19"/>
              </w:rPr>
              <w:t xml:space="preserve">Role</w:t>
            </w:r>
          </w:p>
        </w:tc>
      </w:tr>
      <w:tr>
        <w:tc>
          <w:tcPr>
            <w:tcW w:type="dxa" w:w="1500"/>
            <w:tcMar>
              <w:top w:type="dxa" w:w="70"/>
              <w:left w:type="dxa" w:w="120"/>
              <w:bottom w:type="dxa" w:w="70"/>
              <w:right w:type="dxa" w:w="120"/>
            </w:tcMar>
          </w:tcPr>
          <w:p>
            <w:r>
              <w:rPr>
                <w:b w:val="false"/>
                <w:bCs w:val="false"/>
                <w:sz w:val="19"/>
                <w:szCs w:val="19"/>
              </w:rPr>
              <w:t xml:space="preserve">Train</w:t>
            </w:r>
          </w:p>
        </w:tc>
        <w:tc>
          <w:tcPr>
            <w:tcW w:type="dxa" w:w="1400"/>
            <w:tcMar>
              <w:top w:type="dxa" w:w="70"/>
              <w:left w:type="dxa" w:w="120"/>
              <w:bottom w:type="dxa" w:w="70"/>
              <w:right w:type="dxa" w:w="120"/>
            </w:tcMar>
          </w:tcPr>
          <w:p>
            <w:r>
              <w:rPr>
                <w:b w:val="false"/>
                <w:bCs w:val="false"/>
                <w:sz w:val="19"/>
                <w:szCs w:val="19"/>
              </w:rPr>
              <w:t xml:space="preserve">1,052</w:t>
            </w:r>
          </w:p>
        </w:tc>
        <w:tc>
          <w:tcPr>
            <w:tcW w:type="dxa" w:w="2400"/>
            <w:tcMar>
              <w:top w:type="dxa" w:w="70"/>
              <w:left w:type="dxa" w:w="120"/>
              <w:bottom w:type="dxa" w:w="70"/>
              <w:right w:type="dxa" w:w="120"/>
            </w:tcMar>
          </w:tcPr>
          <w:p>
            <w:r>
              <w:rPr>
                <w:b w:val="false"/>
                <w:bCs w:val="false"/>
                <w:sz w:val="19"/>
                <w:szCs w:val="19"/>
              </w:rPr>
              <w:t xml:space="preserve">120</w:t>
            </w:r>
          </w:p>
        </w:tc>
        <w:tc>
          <w:tcPr>
            <w:tcW w:type="dxa" w:w="3726"/>
            <w:tcMar>
              <w:top w:type="dxa" w:w="70"/>
              <w:left w:type="dxa" w:w="120"/>
              <w:bottom w:type="dxa" w:w="70"/>
              <w:right w:type="dxa" w:w="120"/>
            </w:tcMar>
          </w:tcPr>
          <w:p>
            <w:r>
              <w:rPr>
                <w:b w:val="false"/>
                <w:bCs w:val="false"/>
                <w:sz w:val="19"/>
                <w:szCs w:val="19"/>
              </w:rPr>
              <w:t xml:space="preserve">QLoRA fine-tuning</w:t>
            </w:r>
          </w:p>
        </w:tc>
      </w:tr>
      <w:tr>
        <w:tc>
          <w:tcPr>
            <w:tcW w:type="dxa" w:w="1500"/>
            <w:tcMar>
              <w:top w:type="dxa" w:w="70"/>
              <w:left w:type="dxa" w:w="120"/>
              <w:bottom w:type="dxa" w:w="70"/>
              <w:right w:type="dxa" w:w="120"/>
            </w:tcMar>
          </w:tcPr>
          <w:p>
            <w:r>
              <w:rPr>
                <w:b w:val="false"/>
                <w:bCs w:val="false"/>
                <w:sz w:val="19"/>
                <w:szCs w:val="19"/>
              </w:rPr>
              <w:t xml:space="preserve">Validation</w:t>
            </w:r>
          </w:p>
        </w:tc>
        <w:tc>
          <w:tcPr>
            <w:tcW w:type="dxa" w:w="1400"/>
            <w:tcMar>
              <w:top w:type="dxa" w:w="70"/>
              <w:left w:type="dxa" w:w="120"/>
              <w:bottom w:type="dxa" w:w="70"/>
              <w:right w:type="dxa" w:w="120"/>
            </w:tcMar>
          </w:tcPr>
          <w:p>
            <w:r>
              <w:rPr>
                <w:b w:val="false"/>
                <w:bCs w:val="false"/>
                <w:sz w:val="19"/>
                <w:szCs w:val="19"/>
              </w:rPr>
              <w:t xml:space="preserve">214</w:t>
            </w:r>
          </w:p>
        </w:tc>
        <w:tc>
          <w:tcPr>
            <w:tcW w:type="dxa" w:w="2400"/>
            <w:tcMar>
              <w:top w:type="dxa" w:w="70"/>
              <w:left w:type="dxa" w:w="120"/>
              <w:bottom w:type="dxa" w:w="70"/>
              <w:right w:type="dxa" w:w="120"/>
            </w:tcMar>
          </w:tcPr>
          <w:p>
            <w:r>
              <w:rPr>
                <w:b w:val="false"/>
                <w:bCs w:val="false"/>
                <w:sz w:val="19"/>
                <w:szCs w:val="19"/>
              </w:rPr>
              <w:t xml:space="preserve">24</w:t>
            </w:r>
          </w:p>
        </w:tc>
        <w:tc>
          <w:tcPr>
            <w:tcW w:type="dxa" w:w="3726"/>
            <w:tcMar>
              <w:top w:type="dxa" w:w="70"/>
              <w:left w:type="dxa" w:w="120"/>
              <w:bottom w:type="dxa" w:w="70"/>
              <w:right w:type="dxa" w:w="120"/>
            </w:tcMar>
          </w:tcPr>
          <w:p>
            <w:r>
              <w:rPr>
                <w:b w:val="false"/>
                <w:bCs w:val="false"/>
                <w:sz w:val="19"/>
                <w:szCs w:val="19"/>
              </w:rPr>
              <w:t xml:space="preserve">Checkpoint selection</w:t>
            </w:r>
          </w:p>
        </w:tc>
      </w:tr>
      <w:tr>
        <w:tc>
          <w:tcPr>
            <w:tcW w:type="dxa" w:w="1500"/>
            <w:tcMar>
              <w:top w:type="dxa" w:w="70"/>
              <w:left w:type="dxa" w:w="120"/>
              <w:bottom w:type="dxa" w:w="70"/>
              <w:right w:type="dxa" w:w="120"/>
            </w:tcMar>
          </w:tcPr>
          <w:p>
            <w:r>
              <w:rPr>
                <w:b w:val="false"/>
                <w:bCs w:val="false"/>
                <w:sz w:val="19"/>
                <w:szCs w:val="19"/>
              </w:rPr>
              <w:t xml:space="preserve">Test</w:t>
            </w:r>
          </w:p>
        </w:tc>
        <w:tc>
          <w:tcPr>
            <w:tcW w:type="dxa" w:w="1400"/>
            <w:tcMar>
              <w:top w:type="dxa" w:w="70"/>
              <w:left w:type="dxa" w:w="120"/>
              <w:bottom w:type="dxa" w:w="70"/>
              <w:right w:type="dxa" w:w="120"/>
            </w:tcMar>
          </w:tcPr>
          <w:p>
            <w:r>
              <w:rPr>
                <w:b w:val="false"/>
                <w:bCs w:val="false"/>
                <w:sz w:val="19"/>
                <w:szCs w:val="19"/>
              </w:rPr>
              <w:t xml:space="preserve">162</w:t>
            </w:r>
          </w:p>
        </w:tc>
        <w:tc>
          <w:tcPr>
            <w:tcW w:type="dxa" w:w="2400"/>
            <w:tcMar>
              <w:top w:type="dxa" w:w="70"/>
              <w:left w:type="dxa" w:w="120"/>
              <w:bottom w:type="dxa" w:w="70"/>
              <w:right w:type="dxa" w:w="120"/>
            </w:tcMar>
          </w:tcPr>
          <w:p>
            <w:r>
              <w:rPr>
                <w:b w:val="false"/>
                <w:bCs w:val="false"/>
                <w:sz w:val="19"/>
                <w:szCs w:val="19"/>
              </w:rPr>
              <w:t xml:space="preserve">24</w:t>
            </w:r>
          </w:p>
        </w:tc>
        <w:tc>
          <w:tcPr>
            <w:tcW w:type="dxa" w:w="3726"/>
            <w:tcMar>
              <w:top w:type="dxa" w:w="70"/>
              <w:left w:type="dxa" w:w="120"/>
              <w:bottom w:type="dxa" w:w="70"/>
              <w:right w:type="dxa" w:w="120"/>
            </w:tcMar>
          </w:tcPr>
          <w:p>
            <w:r>
              <w:rPr>
                <w:b w:val="false"/>
                <w:bCs w:val="false"/>
                <w:sz w:val="19"/>
                <w:szCs w:val="19"/>
              </w:rPr>
              <w:t xml:space="preserve">Consumed by the first evaluation</w:t>
            </w:r>
          </w:p>
        </w:tc>
      </w:tr>
      <w:tr>
        <w:tc>
          <w:tcPr>
            <w:tcW w:type="dxa" w:w="1500"/>
            <w:tcMar>
              <w:top w:type="dxa" w:w="70"/>
              <w:left w:type="dxa" w:w="120"/>
              <w:bottom w:type="dxa" w:w="70"/>
              <w:right w:type="dxa" w:w="120"/>
            </w:tcMar>
          </w:tcPr>
          <w:p>
            <w:r>
              <w:rPr>
                <w:b w:val="false"/>
                <w:bCs w:val="false"/>
                <w:sz w:val="19"/>
                <w:szCs w:val="19"/>
              </w:rPr>
              <w:t xml:space="preserve">Holdout v3</w:t>
            </w:r>
          </w:p>
        </w:tc>
        <w:tc>
          <w:tcPr>
            <w:tcW w:type="dxa" w:w="1400"/>
            <w:tcMar>
              <w:top w:type="dxa" w:w="70"/>
              <w:left w:type="dxa" w:w="120"/>
              <w:bottom w:type="dxa" w:w="70"/>
              <w:right w:type="dxa" w:w="120"/>
            </w:tcMar>
          </w:tcPr>
          <w:p>
            <w:r>
              <w:rPr>
                <w:b w:val="false"/>
                <w:bCs w:val="false"/>
                <w:sz w:val="19"/>
                <w:szCs w:val="19"/>
              </w:rPr>
              <w:t xml:space="preserve">144</w:t>
            </w:r>
          </w:p>
        </w:tc>
        <w:tc>
          <w:tcPr>
            <w:tcW w:type="dxa" w:w="2400"/>
            <w:tcMar>
              <w:top w:type="dxa" w:w="70"/>
              <w:left w:type="dxa" w:w="120"/>
              <w:bottom w:type="dxa" w:w="70"/>
              <w:right w:type="dxa" w:w="120"/>
            </w:tcMar>
          </w:tcPr>
          <w:p>
            <w:r>
              <w:rPr>
                <w:b w:val="false"/>
                <w:bCs w:val="false"/>
                <w:sz w:val="19"/>
                <w:szCs w:val="19"/>
              </w:rPr>
              <w:t xml:space="preserve">24 new families</w:t>
            </w:r>
          </w:p>
        </w:tc>
        <w:tc>
          <w:tcPr>
            <w:tcW w:type="dxa" w:w="3726"/>
            <w:tcMar>
              <w:top w:type="dxa" w:w="70"/>
              <w:left w:type="dxa" w:w="120"/>
              <w:bottom w:type="dxa" w:w="70"/>
              <w:right w:type="dxa" w:w="120"/>
            </w:tcMar>
          </w:tcPr>
          <w:p>
            <w:r>
              <w:rPr>
                <w:b w:val="false"/>
                <w:bCs w:val="false"/>
                <w:sz w:val="19"/>
                <w:szCs w:val="19"/>
              </w:rPr>
              <w:t xml:space="preserve">Final evaluation after the schema change</w:t>
            </w:r>
          </w:p>
        </w:tc>
      </w:tr>
    </w:tbl>
    <w:p>
      <w:pPr>
        <w:spacing w:after="180"/>
      </w:pPr>
    </w:p>
    <w:p>
      <w:pPr>
        <w:pStyle w:val="Heading2"/>
        <w:spacing w:after="140" w:before="300"/>
      </w:pPr>
      <w:r>
        <w:t xml:space="preserve">6.2 Training and export</w:t>
      </w:r>
    </w:p>
    <w:p>
      <w:pPr>
        <w:spacing w:after="130" w:line="280"/>
      </w:pPr>
      <w:r>
        <w:t xml:space="preserve">Qwen2.5-1.5B-Instruct was fine-tuned with QLoRA, using a 4-bit NF4 base with bf16 compute, rank 16, alpha 32, across seven attention and MLP target modules. Training used target-only loss masking, so the model is scored on the analysis it produces rather than on the prompt it was given. Validation loss was lowest at checkpoint 66; later epochs overfitted, and the best checkpoint rather than the final one was retained.</w:t>
      </w:r>
    </w:p>
    <w:p>
      <w:pPr>
        <w:spacing w:after="130" w:line="280"/>
      </w:pPr>
      <w:r>
        <w:t xml:space="preserve">The adapter was merged into bf16 weights and converted to GGUF with llama.cpp b10375, then quantized to Q4_K_M with the same pinned toolchain. Tokenizer equivalence was verified functionally rather than assumed: both tokenizers encode the converter’s probe string to identical token identifiers.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F2F2F2" w:color="auto" w:val="clear"/>
            <w:tcMar>
              <w:top w:type="dxa" w:w="70"/>
              <w:left w:type="dxa" w:w="120"/>
              <w:bottom w:type="dxa" w:w="70"/>
              <w:right w:type="dxa" w:w="120"/>
            </w:tcMar>
          </w:tcPr>
          <w:p>
            <w:r>
              <w:rPr>
                <w:b/>
                <w:bCs/>
                <w:sz w:val="19"/>
                <w:szCs w:val="19"/>
              </w:rPr>
              <w:t xml:space="preserve">Property</w:t>
            </w:r>
          </w:p>
        </w:tc>
        <w:tc>
          <w:tcPr>
            <w:tcW w:type="dxa" w:w="6526"/>
            <w:shd w:fill="F2F2F2" w:color="auto" w:val="clear"/>
            <w:tcMar>
              <w:top w:type="dxa" w:w="70"/>
              <w:left w:type="dxa" w:w="120"/>
              <w:bottom w:type="dxa" w:w="70"/>
              <w:right w:type="dxa" w:w="120"/>
            </w:tcMar>
          </w:tcPr>
          <w:p>
            <w:r>
              <w:rPr>
                <w:b/>
                <w:bCs/>
                <w:sz w:val="19"/>
                <w:szCs w:val="19"/>
              </w:rPr>
              <w:t xml:space="preserve">Value</w:t>
            </w:r>
          </w:p>
        </w:tc>
      </w:tr>
      <w:tr>
        <w:tc>
          <w:tcPr>
            <w:tcW w:type="dxa" w:w="2500"/>
            <w:tcMar>
              <w:top w:type="dxa" w:w="70"/>
              <w:left w:type="dxa" w:w="120"/>
              <w:bottom w:type="dxa" w:w="70"/>
              <w:right w:type="dxa" w:w="120"/>
            </w:tcMar>
          </w:tcPr>
          <w:p>
            <w:r>
              <w:rPr>
                <w:b w:val="false"/>
                <w:bCs w:val="false"/>
                <w:sz w:val="19"/>
                <w:szCs w:val="19"/>
              </w:rPr>
              <w:t xml:space="preserve">Base model</w:t>
            </w:r>
          </w:p>
        </w:tc>
        <w:tc>
          <w:tcPr>
            <w:tcW w:type="dxa" w:w="6526"/>
            <w:tcMar>
              <w:top w:type="dxa" w:w="70"/>
              <w:left w:type="dxa" w:w="120"/>
              <w:bottom w:type="dxa" w:w="70"/>
              <w:right w:type="dxa" w:w="120"/>
            </w:tcMar>
          </w:tcPr>
          <w:p>
            <w:r>
              <w:rPr>
                <w:b w:val="false"/>
                <w:bCs w:val="false"/>
                <w:sz w:val="19"/>
                <w:szCs w:val="19"/>
              </w:rPr>
              <w:t xml:space="preserve">Qwen2.5-1.5B-Instruct</w:t>
            </w:r>
          </w:p>
        </w:tc>
      </w:tr>
      <w:tr>
        <w:tc>
          <w:tcPr>
            <w:tcW w:type="dxa" w:w="2500"/>
            <w:tcMar>
              <w:top w:type="dxa" w:w="70"/>
              <w:left w:type="dxa" w:w="120"/>
              <w:bottom w:type="dxa" w:w="70"/>
              <w:right w:type="dxa" w:w="120"/>
            </w:tcMar>
          </w:tcPr>
          <w:p>
            <w:r>
              <w:rPr>
                <w:b w:val="false"/>
                <w:bCs w:val="false"/>
                <w:sz w:val="19"/>
                <w:szCs w:val="19"/>
              </w:rPr>
              <w:t xml:space="preserve">Method</w:t>
            </w:r>
          </w:p>
        </w:tc>
        <w:tc>
          <w:tcPr>
            <w:tcW w:type="dxa" w:w="6526"/>
            <w:tcMar>
              <w:top w:type="dxa" w:w="70"/>
              <w:left w:type="dxa" w:w="120"/>
              <w:bottom w:type="dxa" w:w="70"/>
              <w:right w:type="dxa" w:w="120"/>
            </w:tcMar>
          </w:tcPr>
          <w:p>
            <w:r>
              <w:rPr>
                <w:b w:val="false"/>
                <w:bCs w:val="false"/>
                <w:sz w:val="19"/>
                <w:szCs w:val="19"/>
              </w:rPr>
              <w:t xml:space="preserve">QLoRA, rank 16, alpha 32, dropout 0.05</w:t>
            </w:r>
          </w:p>
        </w:tc>
      </w:tr>
      <w:tr>
        <w:tc>
          <w:tcPr>
            <w:tcW w:type="dxa" w:w="2500"/>
            <w:tcMar>
              <w:top w:type="dxa" w:w="70"/>
              <w:left w:type="dxa" w:w="120"/>
              <w:bottom w:type="dxa" w:w="70"/>
              <w:right w:type="dxa" w:w="120"/>
            </w:tcMar>
          </w:tcPr>
          <w:p>
            <w:r>
              <w:rPr>
                <w:b w:val="false"/>
                <w:bCs w:val="false"/>
                <w:sz w:val="19"/>
                <w:szCs w:val="19"/>
              </w:rPr>
              <w:t xml:space="preserve">Selected checkpoint</w:t>
            </w:r>
          </w:p>
        </w:tc>
        <w:tc>
          <w:tcPr>
            <w:tcW w:type="dxa" w:w="6526"/>
            <w:tcMar>
              <w:top w:type="dxa" w:w="70"/>
              <w:left w:type="dxa" w:w="120"/>
              <w:bottom w:type="dxa" w:w="70"/>
              <w:right w:type="dxa" w:w="120"/>
            </w:tcMar>
          </w:tcPr>
          <w:p>
            <w:r>
              <w:rPr>
                <w:b w:val="false"/>
                <w:bCs w:val="false"/>
                <w:sz w:val="19"/>
                <w:szCs w:val="19"/>
              </w:rPr>
              <w:t xml:space="preserve">checkpoint-66, lowest validation loss</w:t>
            </w:r>
          </w:p>
        </w:tc>
      </w:tr>
      <w:tr>
        <w:tc>
          <w:tcPr>
            <w:tcW w:type="dxa" w:w="2500"/>
            <w:tcMar>
              <w:top w:type="dxa" w:w="70"/>
              <w:left w:type="dxa" w:w="120"/>
              <w:bottom w:type="dxa" w:w="70"/>
              <w:right w:type="dxa" w:w="120"/>
            </w:tcMar>
          </w:tcPr>
          <w:p>
            <w:r>
              <w:rPr>
                <w:b w:val="false"/>
                <w:bCs w:val="false"/>
                <w:sz w:val="19"/>
                <w:szCs w:val="19"/>
              </w:rPr>
              <w:t xml:space="preserve">Export toolchain</w:t>
            </w:r>
          </w:p>
        </w:tc>
        <w:tc>
          <w:tcPr>
            <w:tcW w:type="dxa" w:w="6526"/>
            <w:tcMar>
              <w:top w:type="dxa" w:w="70"/>
              <w:left w:type="dxa" w:w="120"/>
              <w:bottom w:type="dxa" w:w="70"/>
              <w:right w:type="dxa" w:w="120"/>
            </w:tcMar>
          </w:tcPr>
          <w:p>
            <w:r>
              <w:rPr>
                <w:b w:val="false"/>
                <w:bCs w:val="false"/>
                <w:sz w:val="19"/>
                <w:szCs w:val="19"/>
              </w:rPr>
              <w:t xml:space="preserve">llama.cpp b10375, commit ba360efe1</w:t>
            </w:r>
          </w:p>
        </w:tc>
      </w:tr>
      <w:tr>
        <w:tc>
          <w:tcPr>
            <w:tcW w:type="dxa" w:w="2500"/>
            <w:tcMar>
              <w:top w:type="dxa" w:w="70"/>
              <w:left w:type="dxa" w:w="120"/>
              <w:bottom w:type="dxa" w:w="70"/>
              <w:right w:type="dxa" w:w="120"/>
            </w:tcMar>
          </w:tcPr>
          <w:p>
            <w:r>
              <w:rPr>
                <w:b w:val="false"/>
                <w:bCs w:val="false"/>
                <w:sz w:val="19"/>
                <w:szCs w:val="19"/>
              </w:rPr>
              <w:t xml:space="preserve">Quantization</w:t>
            </w:r>
          </w:p>
        </w:tc>
        <w:tc>
          <w:tcPr>
            <w:tcW w:type="dxa" w:w="6526"/>
            <w:tcMar>
              <w:top w:type="dxa" w:w="70"/>
              <w:left w:type="dxa" w:w="120"/>
              <w:bottom w:type="dxa" w:w="70"/>
              <w:right w:type="dxa" w:w="120"/>
            </w:tcMar>
          </w:tcPr>
          <w:p>
            <w:r>
              <w:rPr>
                <w:b w:val="false"/>
                <w:bCs w:val="false"/>
                <w:sz w:val="19"/>
                <w:szCs w:val="19"/>
              </w:rPr>
              <w:t xml:space="preserve">Q4_K_M, 338 tensors</w:t>
            </w:r>
          </w:p>
        </w:tc>
      </w:tr>
      <w:tr>
        <w:tc>
          <w:tcPr>
            <w:tcW w:type="dxa" w:w="2500"/>
            <w:tcMar>
              <w:top w:type="dxa" w:w="70"/>
              <w:left w:type="dxa" w:w="120"/>
              <w:bottom w:type="dxa" w:w="70"/>
              <w:right w:type="dxa" w:w="120"/>
            </w:tcMar>
          </w:tcPr>
          <w:p>
            <w:r>
              <w:rPr>
                <w:b w:val="false"/>
                <w:bCs w:val="false"/>
                <w:sz w:val="19"/>
                <w:szCs w:val="19"/>
              </w:rPr>
              <w:t xml:space="preserve">Artifact size</w:t>
            </w:r>
          </w:p>
        </w:tc>
        <w:tc>
          <w:tcPr>
            <w:tcW w:type="dxa" w:w="6526"/>
            <w:tcMar>
              <w:top w:type="dxa" w:w="70"/>
              <w:left w:type="dxa" w:w="120"/>
              <w:bottom w:type="dxa" w:w="70"/>
              <w:right w:type="dxa" w:w="120"/>
            </w:tcMar>
          </w:tcPr>
          <w:p>
            <w:r>
              <w:rPr>
                <w:b w:val="false"/>
                <w:bCs w:val="false"/>
                <w:sz w:val="19"/>
                <w:szCs w:val="19"/>
              </w:rPr>
              <w:t xml:space="preserve">986,047,968 bytes (940.37 MiB)</w:t>
            </w:r>
          </w:p>
        </w:tc>
      </w:tr>
      <w:tr>
        <w:tc>
          <w:tcPr>
            <w:tcW w:type="dxa" w:w="2500"/>
            <w:tcMar>
              <w:top w:type="dxa" w:w="70"/>
              <w:left w:type="dxa" w:w="120"/>
              <w:bottom w:type="dxa" w:w="70"/>
              <w:right w:type="dxa" w:w="120"/>
            </w:tcMar>
          </w:tcPr>
          <w:p>
            <w:r>
              <w:rPr>
                <w:b w:val="false"/>
                <w:bCs w:val="false"/>
                <w:sz w:val="19"/>
                <w:szCs w:val="19"/>
              </w:rPr>
              <w:t xml:space="preserve">SHA-256</w:t>
            </w:r>
          </w:p>
        </w:tc>
        <w:tc>
          <w:tcPr>
            <w:tcW w:type="dxa" w:w="6526"/>
            <w:tcMar>
              <w:top w:type="dxa" w:w="70"/>
              <w:left w:type="dxa" w:w="120"/>
              <w:bottom w:type="dxa" w:w="70"/>
              <w:right w:type="dxa" w:w="120"/>
            </w:tcMar>
          </w:tcPr>
          <w:p>
            <w:r>
              <w:rPr>
                <w:b w:val="false"/>
                <w:bCs w:val="false"/>
                <w:sz w:val="19"/>
                <w:szCs w:val="19"/>
              </w:rPr>
              <w:t xml:space="preserve">bf03ee464040cafc5883c48afee2785a56955fc737c8033a68fefb255f36fc16</w:t>
            </w:r>
          </w:p>
        </w:tc>
      </w:tr>
    </w:tbl>
    <w:p>
      <w:r>
        <w:br w:type="page"/>
      </w:r>
    </w:p>
    <w:p>
      <w:pPr>
        <w:pStyle w:val="Heading1"/>
        <w:spacing w:after="140" w:before="300"/>
      </w:pPr>
      <w:r>
        <w:t xml:space="preserve">7. Measured evaluation</w:t>
      </w:r>
    </w:p>
    <w:p>
      <w:pPr>
        <w:spacing w:after="130" w:line="280"/>
      </w:pPr>
      <w:r>
        <w:t xml:space="preserve">The stock production model and the fine-tuned candidate were evaluated on 144 held-out reports drawn from 24 scenario families that neither model had seen. Both arms ran sequentially on the same machine through the same unmodified harness, with identical split, schema, prompt, generation parameters and runtime binary. The only intended difference between them was the model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00"/>
        <w:gridCol w:w="1926"/>
      </w:tblGrid>
      <w:tr>
        <w:trPr>
          <w:tblHeader/>
        </w:trPr>
        <w:tc>
          <w:tcPr>
            <w:tcW w:type="dxa" w:w="3000"/>
            <w:shd w:fill="F2F2F2" w:color="auto" w:val="clear"/>
            <w:tcMar>
              <w:top w:type="dxa" w:w="70"/>
              <w:left w:type="dxa" w:w="120"/>
              <w:bottom w:type="dxa" w:w="70"/>
              <w:right w:type="dxa" w:w="120"/>
            </w:tcMar>
          </w:tcPr>
          <w:p>
            <w:r>
              <w:rPr>
                <w:b/>
                <w:bCs/>
                <w:sz w:val="19"/>
                <w:szCs w:val="19"/>
              </w:rPr>
              <w:t xml:space="preserve">Metric</w:t>
            </w:r>
          </w:p>
        </w:tc>
        <w:tc>
          <w:tcPr>
            <w:tcW w:type="dxa" w:w="2000"/>
            <w:shd w:fill="F2F2F2" w:color="auto" w:val="clear"/>
            <w:tcMar>
              <w:top w:type="dxa" w:w="70"/>
              <w:left w:type="dxa" w:w="120"/>
              <w:bottom w:type="dxa" w:w="70"/>
              <w:right w:type="dxa" w:w="120"/>
            </w:tcMar>
          </w:tcPr>
          <w:p>
            <w:r>
              <w:rPr>
                <w:b/>
                <w:bCs/>
                <w:sz w:val="19"/>
                <w:szCs w:val="19"/>
              </w:rPr>
              <w:t xml:space="preserve">Stock model</w:t>
            </w:r>
          </w:p>
        </w:tc>
        <w:tc>
          <w:tcPr>
            <w:tcW w:type="dxa" w:w="2100"/>
            <w:shd w:fill="F2F2F2" w:color="auto" w:val="clear"/>
            <w:tcMar>
              <w:top w:type="dxa" w:w="70"/>
              <w:left w:type="dxa" w:w="120"/>
              <w:bottom w:type="dxa" w:w="70"/>
              <w:right w:type="dxa" w:w="120"/>
            </w:tcMar>
          </w:tcPr>
          <w:p>
            <w:r>
              <w:rPr>
                <w:b/>
                <w:bCs/>
                <w:sz w:val="19"/>
                <w:szCs w:val="19"/>
              </w:rPr>
              <w:t xml:space="preserve">Fine-tuned</w:t>
            </w:r>
          </w:p>
        </w:tc>
        <w:tc>
          <w:tcPr>
            <w:tcW w:type="dxa" w:w="1926"/>
            <w:shd w:fill="F2F2F2" w:color="auto" w:val="clear"/>
            <w:tcMar>
              <w:top w:type="dxa" w:w="70"/>
              <w:left w:type="dxa" w:w="120"/>
              <w:bottom w:type="dxa" w:w="70"/>
              <w:right w:type="dxa" w:w="120"/>
            </w:tcMar>
          </w:tcPr>
          <w:p>
            <w:r>
              <w:rPr>
                <w:b/>
                <w:bCs/>
                <w:sz w:val="19"/>
                <w:szCs w:val="19"/>
              </w:rPr>
              <w:t xml:space="preserve">Change</w:t>
            </w:r>
          </w:p>
        </w:tc>
      </w:tr>
      <w:tr>
        <w:tc>
          <w:tcPr>
            <w:tcW w:type="dxa" w:w="3000"/>
            <w:tcMar>
              <w:top w:type="dxa" w:w="70"/>
              <w:left w:type="dxa" w:w="120"/>
              <w:bottom w:type="dxa" w:w="70"/>
              <w:right w:type="dxa" w:w="120"/>
            </w:tcMar>
          </w:tcPr>
          <w:p>
            <w:r>
              <w:rPr>
                <w:b w:val="false"/>
                <w:bCs w:val="false"/>
                <w:sz w:val="19"/>
                <w:szCs w:val="19"/>
              </w:rPr>
              <w:t xml:space="preserve">Valid JSON output</w:t>
            </w:r>
          </w:p>
        </w:tc>
        <w:tc>
          <w:tcPr>
            <w:tcW w:type="dxa" w:w="2000"/>
            <w:tcMar>
              <w:top w:type="dxa" w:w="70"/>
              <w:left w:type="dxa" w:w="120"/>
              <w:bottom w:type="dxa" w:w="70"/>
              <w:right w:type="dxa" w:w="120"/>
            </w:tcMar>
          </w:tcPr>
          <w:p>
            <w:r>
              <w:rPr>
                <w:b w:val="false"/>
                <w:bCs w:val="false"/>
                <w:sz w:val="19"/>
                <w:szCs w:val="19"/>
              </w:rPr>
              <w:t xml:space="preserve">99.3%</w:t>
            </w:r>
          </w:p>
        </w:tc>
        <w:tc>
          <w:tcPr>
            <w:tcW w:type="dxa" w:w="2100"/>
            <w:tcMar>
              <w:top w:type="dxa" w:w="70"/>
              <w:left w:type="dxa" w:w="120"/>
              <w:bottom w:type="dxa" w:w="70"/>
              <w:right w:type="dxa" w:w="120"/>
            </w:tcMar>
          </w:tcPr>
          <w:p>
            <w:r>
              <w:rPr>
                <w:b w:val="false"/>
                <w:bCs w:val="false"/>
                <w:sz w:val="19"/>
                <w:szCs w:val="19"/>
              </w:rPr>
              <w:t xml:space="preserve">100.0%</w:t>
            </w:r>
          </w:p>
        </w:tc>
        <w:tc>
          <w:tcPr>
            <w:tcW w:type="dxa" w:w="1926"/>
            <w:tcMar>
              <w:top w:type="dxa" w:w="70"/>
              <w:left w:type="dxa" w:w="120"/>
              <w:bottom w:type="dxa" w:w="70"/>
              <w:right w:type="dxa" w:w="120"/>
            </w:tcMar>
          </w:tcPr>
          <w:p>
            <w:r>
              <w:rPr>
                <w:b w:val="false"/>
                <w:bCs w:val="false"/>
                <w:sz w:val="19"/>
                <w:szCs w:val="19"/>
              </w:rPr>
              <w:t xml:space="preserve">+0.7 pp</w:t>
            </w:r>
          </w:p>
        </w:tc>
      </w:tr>
      <w:tr>
        <w:tc>
          <w:tcPr>
            <w:tcW w:type="dxa" w:w="3000"/>
            <w:tcMar>
              <w:top w:type="dxa" w:w="70"/>
              <w:left w:type="dxa" w:w="120"/>
              <w:bottom w:type="dxa" w:w="70"/>
              <w:right w:type="dxa" w:w="120"/>
            </w:tcMar>
          </w:tcPr>
          <w:p>
            <w:r>
              <w:rPr>
                <w:b w:val="false"/>
                <w:bCs w:val="false"/>
                <w:sz w:val="19"/>
                <w:szCs w:val="19"/>
              </w:rPr>
              <w:t xml:space="preserve">Schema accepted</w:t>
            </w:r>
          </w:p>
        </w:tc>
        <w:tc>
          <w:tcPr>
            <w:tcW w:type="dxa" w:w="2000"/>
            <w:tcMar>
              <w:top w:type="dxa" w:w="70"/>
              <w:left w:type="dxa" w:w="120"/>
              <w:bottom w:type="dxa" w:w="70"/>
              <w:right w:type="dxa" w:w="120"/>
            </w:tcMar>
          </w:tcPr>
          <w:p>
            <w:r>
              <w:rPr>
                <w:b w:val="false"/>
                <w:bCs w:val="false"/>
                <w:sz w:val="19"/>
                <w:szCs w:val="19"/>
              </w:rPr>
              <w:t xml:space="preserve">99.3%</w:t>
            </w:r>
          </w:p>
        </w:tc>
        <w:tc>
          <w:tcPr>
            <w:tcW w:type="dxa" w:w="2100"/>
            <w:tcMar>
              <w:top w:type="dxa" w:w="70"/>
              <w:left w:type="dxa" w:w="120"/>
              <w:bottom w:type="dxa" w:w="70"/>
              <w:right w:type="dxa" w:w="120"/>
            </w:tcMar>
          </w:tcPr>
          <w:p>
            <w:r>
              <w:rPr>
                <w:b w:val="false"/>
                <w:bCs w:val="false"/>
                <w:sz w:val="19"/>
                <w:szCs w:val="19"/>
              </w:rPr>
              <w:t xml:space="preserve">100.0%</w:t>
            </w:r>
          </w:p>
        </w:tc>
        <w:tc>
          <w:tcPr>
            <w:tcW w:type="dxa" w:w="1926"/>
            <w:tcMar>
              <w:top w:type="dxa" w:w="70"/>
              <w:left w:type="dxa" w:w="120"/>
              <w:bottom w:type="dxa" w:w="70"/>
              <w:right w:type="dxa" w:w="120"/>
            </w:tcMar>
          </w:tcPr>
          <w:p>
            <w:r>
              <w:rPr>
                <w:b w:val="false"/>
                <w:bCs w:val="false"/>
                <w:sz w:val="19"/>
                <w:szCs w:val="19"/>
              </w:rPr>
              <w:t xml:space="preserve">+0.7 pp</w:t>
            </w:r>
          </w:p>
        </w:tc>
      </w:tr>
      <w:tr>
        <w:tc>
          <w:tcPr>
            <w:tcW w:type="dxa" w:w="3000"/>
            <w:tcMar>
              <w:top w:type="dxa" w:w="70"/>
              <w:left w:type="dxa" w:w="120"/>
              <w:bottom w:type="dxa" w:w="70"/>
              <w:right w:type="dxa" w:w="120"/>
            </w:tcMar>
          </w:tcPr>
          <w:p>
            <w:r>
              <w:rPr>
                <w:b w:val="false"/>
                <w:bCs w:val="false"/>
                <w:sz w:val="19"/>
                <w:szCs w:val="19"/>
              </w:rPr>
              <w:t xml:space="preserve">Category accuracy</w:t>
            </w:r>
          </w:p>
        </w:tc>
        <w:tc>
          <w:tcPr>
            <w:tcW w:type="dxa" w:w="2000"/>
            <w:tcMar>
              <w:top w:type="dxa" w:w="70"/>
              <w:left w:type="dxa" w:w="120"/>
              <w:bottom w:type="dxa" w:w="70"/>
              <w:right w:type="dxa" w:w="120"/>
            </w:tcMar>
          </w:tcPr>
          <w:p>
            <w:r>
              <w:rPr>
                <w:b w:val="false"/>
                <w:bCs w:val="false"/>
                <w:sz w:val="19"/>
                <w:szCs w:val="19"/>
              </w:rPr>
              <w:t xml:space="preserve">55.2%</w:t>
            </w:r>
          </w:p>
        </w:tc>
        <w:tc>
          <w:tcPr>
            <w:tcW w:type="dxa" w:w="2100"/>
            <w:tcMar>
              <w:top w:type="dxa" w:w="70"/>
              <w:left w:type="dxa" w:w="120"/>
              <w:bottom w:type="dxa" w:w="70"/>
              <w:right w:type="dxa" w:w="120"/>
            </w:tcMar>
          </w:tcPr>
          <w:p>
            <w:r>
              <w:rPr>
                <w:b w:val="false"/>
                <w:bCs w:val="false"/>
                <w:sz w:val="19"/>
                <w:szCs w:val="19"/>
              </w:rPr>
              <w:t xml:space="preserve">88.2%</w:t>
            </w:r>
          </w:p>
        </w:tc>
        <w:tc>
          <w:tcPr>
            <w:tcW w:type="dxa" w:w="1926"/>
            <w:tcMar>
              <w:top w:type="dxa" w:w="70"/>
              <w:left w:type="dxa" w:w="120"/>
              <w:bottom w:type="dxa" w:w="70"/>
              <w:right w:type="dxa" w:w="120"/>
            </w:tcMar>
          </w:tcPr>
          <w:p>
            <w:r>
              <w:rPr>
                <w:b w:val="false"/>
                <w:bCs w:val="false"/>
                <w:sz w:val="19"/>
                <w:szCs w:val="19"/>
              </w:rPr>
              <w:t xml:space="preserve">+33.0 pp</w:t>
            </w:r>
          </w:p>
        </w:tc>
      </w:tr>
      <w:tr>
        <w:tc>
          <w:tcPr>
            <w:tcW w:type="dxa" w:w="3000"/>
            <w:tcMar>
              <w:top w:type="dxa" w:w="70"/>
              <w:left w:type="dxa" w:w="120"/>
              <w:bottom w:type="dxa" w:w="70"/>
              <w:right w:type="dxa" w:w="120"/>
            </w:tcMar>
          </w:tcPr>
          <w:p>
            <w:r>
              <w:rPr>
                <w:b w:val="false"/>
                <w:bCs w:val="false"/>
                <w:sz w:val="19"/>
                <w:szCs w:val="19"/>
              </w:rPr>
              <w:t xml:space="preserve">Severity accuracy</w:t>
            </w:r>
          </w:p>
        </w:tc>
        <w:tc>
          <w:tcPr>
            <w:tcW w:type="dxa" w:w="2000"/>
            <w:tcMar>
              <w:top w:type="dxa" w:w="70"/>
              <w:left w:type="dxa" w:w="120"/>
              <w:bottom w:type="dxa" w:w="70"/>
              <w:right w:type="dxa" w:w="120"/>
            </w:tcMar>
          </w:tcPr>
          <w:p>
            <w:r>
              <w:rPr>
                <w:b w:val="false"/>
                <w:bCs w:val="false"/>
                <w:sz w:val="19"/>
                <w:szCs w:val="19"/>
              </w:rPr>
              <w:t xml:space="preserve">47.6%</w:t>
            </w:r>
          </w:p>
        </w:tc>
        <w:tc>
          <w:tcPr>
            <w:tcW w:type="dxa" w:w="2100"/>
            <w:tcMar>
              <w:top w:type="dxa" w:w="70"/>
              <w:left w:type="dxa" w:w="120"/>
              <w:bottom w:type="dxa" w:w="70"/>
              <w:right w:type="dxa" w:w="120"/>
            </w:tcMar>
          </w:tcPr>
          <w:p>
            <w:r>
              <w:rPr>
                <w:b w:val="false"/>
                <w:bCs w:val="false"/>
                <w:sz w:val="19"/>
                <w:szCs w:val="19"/>
              </w:rPr>
              <w:t xml:space="preserve">63.2%</w:t>
            </w:r>
          </w:p>
        </w:tc>
        <w:tc>
          <w:tcPr>
            <w:tcW w:type="dxa" w:w="1926"/>
            <w:tcMar>
              <w:top w:type="dxa" w:w="70"/>
              <w:left w:type="dxa" w:w="120"/>
              <w:bottom w:type="dxa" w:w="70"/>
              <w:right w:type="dxa" w:w="120"/>
            </w:tcMar>
          </w:tcPr>
          <w:p>
            <w:r>
              <w:rPr>
                <w:b w:val="false"/>
                <w:bCs w:val="false"/>
                <w:sz w:val="19"/>
                <w:szCs w:val="19"/>
              </w:rPr>
              <w:t xml:space="preserve">+15.6 pp</w:t>
            </w:r>
          </w:p>
        </w:tc>
      </w:tr>
      <w:tr>
        <w:tc>
          <w:tcPr>
            <w:tcW w:type="dxa" w:w="3000"/>
            <w:tcMar>
              <w:top w:type="dxa" w:w="70"/>
              <w:left w:type="dxa" w:w="120"/>
              <w:bottom w:type="dxa" w:w="70"/>
              <w:right w:type="dxa" w:w="120"/>
            </w:tcMar>
          </w:tcPr>
          <w:p>
            <w:r>
              <w:rPr>
                <w:b w:val="false"/>
                <w:bCs w:val="false"/>
                <w:sz w:val="19"/>
                <w:szCs w:val="19"/>
              </w:rPr>
              <w:t xml:space="preserve">Access-status accuracy</w:t>
            </w:r>
          </w:p>
        </w:tc>
        <w:tc>
          <w:tcPr>
            <w:tcW w:type="dxa" w:w="2000"/>
            <w:tcMar>
              <w:top w:type="dxa" w:w="70"/>
              <w:left w:type="dxa" w:w="120"/>
              <w:bottom w:type="dxa" w:w="70"/>
              <w:right w:type="dxa" w:w="120"/>
            </w:tcMar>
          </w:tcPr>
          <w:p>
            <w:r>
              <w:rPr>
                <w:b w:val="false"/>
                <w:bCs w:val="false"/>
                <w:sz w:val="19"/>
                <w:szCs w:val="19"/>
              </w:rPr>
              <w:t xml:space="preserve">9.1%</w:t>
            </w:r>
          </w:p>
        </w:tc>
        <w:tc>
          <w:tcPr>
            <w:tcW w:type="dxa" w:w="2100"/>
            <w:tcMar>
              <w:top w:type="dxa" w:w="70"/>
              <w:left w:type="dxa" w:w="120"/>
              <w:bottom w:type="dxa" w:w="70"/>
              <w:right w:type="dxa" w:w="120"/>
            </w:tcMar>
          </w:tcPr>
          <w:p>
            <w:r>
              <w:rPr>
                <w:b w:val="false"/>
                <w:bCs w:val="false"/>
                <w:sz w:val="19"/>
                <w:szCs w:val="19"/>
              </w:rPr>
              <w:t xml:space="preserve">68.1%</w:t>
            </w:r>
          </w:p>
        </w:tc>
        <w:tc>
          <w:tcPr>
            <w:tcW w:type="dxa" w:w="1926"/>
            <w:tcMar>
              <w:top w:type="dxa" w:w="70"/>
              <w:left w:type="dxa" w:w="120"/>
              <w:bottom w:type="dxa" w:w="70"/>
              <w:right w:type="dxa" w:w="120"/>
            </w:tcMar>
          </w:tcPr>
          <w:p>
            <w:r>
              <w:rPr>
                <w:b w:val="false"/>
                <w:bCs w:val="false"/>
                <w:sz w:val="19"/>
                <w:szCs w:val="19"/>
              </w:rPr>
              <w:t xml:space="preserve">+59.0 pp</w:t>
            </w:r>
          </w:p>
        </w:tc>
      </w:tr>
      <w:tr>
        <w:tc>
          <w:tcPr>
            <w:tcW w:type="dxa" w:w="3000"/>
            <w:tcMar>
              <w:top w:type="dxa" w:w="70"/>
              <w:left w:type="dxa" w:w="120"/>
              <w:bottom w:type="dxa" w:w="70"/>
              <w:right w:type="dxa" w:w="120"/>
            </w:tcMar>
          </w:tcPr>
          <w:p>
            <w:r>
              <w:rPr>
                <w:b w:val="false"/>
                <w:bCs w:val="false"/>
                <w:sz w:val="19"/>
                <w:szCs w:val="19"/>
              </w:rPr>
              <w:t xml:space="preserve">Keyword recall, mean</w:t>
            </w:r>
          </w:p>
        </w:tc>
        <w:tc>
          <w:tcPr>
            <w:tcW w:type="dxa" w:w="2000"/>
            <w:tcMar>
              <w:top w:type="dxa" w:w="70"/>
              <w:left w:type="dxa" w:w="120"/>
              <w:bottom w:type="dxa" w:w="70"/>
              <w:right w:type="dxa" w:w="120"/>
            </w:tcMar>
          </w:tcPr>
          <w:p>
            <w:r>
              <w:rPr>
                <w:b w:val="false"/>
                <w:bCs w:val="false"/>
                <w:sz w:val="19"/>
                <w:szCs w:val="19"/>
              </w:rPr>
              <w:t xml:space="preserve">51.2%</w:t>
            </w:r>
          </w:p>
        </w:tc>
        <w:tc>
          <w:tcPr>
            <w:tcW w:type="dxa" w:w="2100"/>
            <w:tcMar>
              <w:top w:type="dxa" w:w="70"/>
              <w:left w:type="dxa" w:w="120"/>
              <w:bottom w:type="dxa" w:w="70"/>
              <w:right w:type="dxa" w:w="120"/>
            </w:tcMar>
          </w:tcPr>
          <w:p>
            <w:r>
              <w:rPr>
                <w:b w:val="false"/>
                <w:bCs w:val="false"/>
                <w:sz w:val="19"/>
                <w:szCs w:val="19"/>
              </w:rPr>
              <w:t xml:space="preserve">55.9%</w:t>
            </w:r>
          </w:p>
        </w:tc>
        <w:tc>
          <w:tcPr>
            <w:tcW w:type="dxa" w:w="1926"/>
            <w:tcMar>
              <w:top w:type="dxa" w:w="70"/>
              <w:left w:type="dxa" w:w="120"/>
              <w:bottom w:type="dxa" w:w="70"/>
              <w:right w:type="dxa" w:w="120"/>
            </w:tcMar>
          </w:tcPr>
          <w:p>
            <w:r>
              <w:rPr>
                <w:b w:val="false"/>
                <w:bCs w:val="false"/>
                <w:sz w:val="19"/>
                <w:szCs w:val="19"/>
              </w:rPr>
              <w:t xml:space="preserve">+4.7 pp</w:t>
            </w:r>
          </w:p>
        </w:tc>
      </w:tr>
      <w:tr>
        <w:tc>
          <w:tcPr>
            <w:tcW w:type="dxa" w:w="3000"/>
            <w:tcMar>
              <w:top w:type="dxa" w:w="70"/>
              <w:left w:type="dxa" w:w="120"/>
              <w:bottom w:type="dxa" w:w="70"/>
              <w:right w:type="dxa" w:w="120"/>
            </w:tcMar>
          </w:tcPr>
          <w:p>
            <w:r>
              <w:rPr>
                <w:b w:val="false"/>
                <w:bCs w:val="false"/>
                <w:sz w:val="19"/>
                <w:szCs w:val="19"/>
              </w:rPr>
              <w:t xml:space="preserve">Fully correct analyses</w:t>
            </w:r>
          </w:p>
        </w:tc>
        <w:tc>
          <w:tcPr>
            <w:tcW w:type="dxa" w:w="2000"/>
            <w:tcMar>
              <w:top w:type="dxa" w:w="70"/>
              <w:left w:type="dxa" w:w="120"/>
              <w:bottom w:type="dxa" w:w="70"/>
              <w:right w:type="dxa" w:w="120"/>
            </w:tcMar>
          </w:tcPr>
          <w:p>
            <w:r>
              <w:rPr>
                <w:b w:val="false"/>
                <w:bCs w:val="false"/>
                <w:sz w:val="19"/>
                <w:szCs w:val="19"/>
              </w:rPr>
              <w:t xml:space="preserve">3.5%</w:t>
            </w:r>
          </w:p>
        </w:tc>
        <w:tc>
          <w:tcPr>
            <w:tcW w:type="dxa" w:w="2100"/>
            <w:tcMar>
              <w:top w:type="dxa" w:w="70"/>
              <w:left w:type="dxa" w:w="120"/>
              <w:bottom w:type="dxa" w:w="70"/>
              <w:right w:type="dxa" w:w="120"/>
            </w:tcMar>
          </w:tcPr>
          <w:p>
            <w:r>
              <w:rPr>
                <w:b w:val="false"/>
                <w:bCs w:val="false"/>
                <w:sz w:val="19"/>
                <w:szCs w:val="19"/>
              </w:rPr>
              <w:t xml:space="preserve">30.6%</w:t>
            </w:r>
          </w:p>
        </w:tc>
        <w:tc>
          <w:tcPr>
            <w:tcW w:type="dxa" w:w="1926"/>
            <w:tcMar>
              <w:top w:type="dxa" w:w="70"/>
              <w:left w:type="dxa" w:w="120"/>
              <w:bottom w:type="dxa" w:w="70"/>
              <w:right w:type="dxa" w:w="120"/>
            </w:tcMar>
          </w:tcPr>
          <w:p>
            <w:r>
              <w:rPr>
                <w:b w:val="false"/>
                <w:bCs w:val="false"/>
                <w:sz w:val="19"/>
                <w:szCs w:val="19"/>
              </w:rPr>
              <w:t xml:space="preserve">+27.1 pp</w:t>
            </w:r>
          </w:p>
        </w:tc>
      </w:tr>
      <w:tr>
        <w:tc>
          <w:tcPr>
            <w:tcW w:type="dxa" w:w="3000"/>
            <w:tcMar>
              <w:top w:type="dxa" w:w="70"/>
              <w:left w:type="dxa" w:w="120"/>
              <w:bottom w:type="dxa" w:w="70"/>
              <w:right w:type="dxa" w:w="120"/>
            </w:tcMar>
          </w:tcPr>
          <w:p>
            <w:r>
              <w:rPr>
                <w:b w:val="false"/>
                <w:bCs w:val="false"/>
                <w:sz w:val="19"/>
                <w:szCs w:val="19"/>
              </w:rPr>
              <w:t xml:space="preserve">Latency, mean</w:t>
            </w:r>
          </w:p>
        </w:tc>
        <w:tc>
          <w:tcPr>
            <w:tcW w:type="dxa" w:w="2000"/>
            <w:tcMar>
              <w:top w:type="dxa" w:w="70"/>
              <w:left w:type="dxa" w:w="120"/>
              <w:bottom w:type="dxa" w:w="70"/>
              <w:right w:type="dxa" w:w="120"/>
            </w:tcMar>
          </w:tcPr>
          <w:p>
            <w:r>
              <w:rPr>
                <w:b w:val="false"/>
                <w:bCs w:val="false"/>
                <w:sz w:val="19"/>
                <w:szCs w:val="19"/>
              </w:rPr>
              <w:t xml:space="preserve">3,338 ms</w:t>
            </w:r>
          </w:p>
        </w:tc>
        <w:tc>
          <w:tcPr>
            <w:tcW w:type="dxa" w:w="2100"/>
            <w:tcMar>
              <w:top w:type="dxa" w:w="70"/>
              <w:left w:type="dxa" w:w="120"/>
              <w:bottom w:type="dxa" w:w="70"/>
              <w:right w:type="dxa" w:w="120"/>
            </w:tcMar>
          </w:tcPr>
          <w:p>
            <w:r>
              <w:rPr>
                <w:b w:val="false"/>
                <w:bCs w:val="false"/>
                <w:sz w:val="19"/>
                <w:szCs w:val="19"/>
              </w:rPr>
              <w:t xml:space="preserve">2,475 ms</w:t>
            </w:r>
          </w:p>
        </w:tc>
        <w:tc>
          <w:tcPr>
            <w:tcW w:type="dxa" w:w="1926"/>
            <w:tcMar>
              <w:top w:type="dxa" w:w="70"/>
              <w:left w:type="dxa" w:w="120"/>
              <w:bottom w:type="dxa" w:w="70"/>
              <w:right w:type="dxa" w:w="120"/>
            </w:tcMar>
          </w:tcPr>
          <w:p>
            <w:r>
              <w:rPr>
                <w:b w:val="false"/>
                <w:bCs w:val="false"/>
                <w:sz w:val="19"/>
                <w:szCs w:val="19"/>
              </w:rPr>
              <w:t xml:space="preserve">−25.9%</w:t>
            </w:r>
          </w:p>
        </w:tc>
      </w:tr>
    </w:tbl>
    <w:p>
      <w:pPr>
        <w:spacing w:after="180"/>
      </w:pPr>
    </w:p>
    <w:p>
      <w:pPr>
        <w:spacing w:after="130" w:line="280"/>
      </w:pPr>
      <w:r>
        <w:t xml:space="preserve">Robustness to degraded input was measured separately. On the 51 reports carrying typographic noise, category accuracy rose from 54.9% to 88.2% and fully-correct analyses from 5.9% to 29.4%. This matters because field reports are typed under pressure.</w:t>
      </w:r>
    </w:p>
    <w:p>
      <w:pPr>
        <w:pStyle w:val="Heading2"/>
        <w:spacing w:after="140" w:before="300"/>
      </w:pPr>
      <w:r>
        <w:t xml:space="preserve">7.1 Regressions and caveats</w:t>
      </w:r>
    </w:p>
    <w:p>
      <w:pPr>
        <w:spacing w:after="130" w:line="280"/>
      </w:pPr>
      <w:r>
        <w:t xml:space="preserve">Three results moved the wrong way and are reported rather than omitted. MEDIUM-severity accuracy fell slightly, from 36.4% to 34.1%. UNKNOWN access-status accuracy fell substantially, from 100% to 54.5%, because the model asserts OPEN where it should abstain. Recall of the free-text cause field declined from 9.2% to 6.2%. CRITICAL severity remains the weakest class at 44.4%.</w:t>
      </w:r>
    </w:p>
    <w:p>
      <w:pPr>
        <w:spacing w:after="130" w:line="280"/>
      </w:pPr>
      <w:r>
        <w:t xml:space="preserve">Two methodological limits bound these figures. The evaluation harness reports point estimates with no confidence intervals, so small slices — several have fewer than ten records — should not be read as findings. And the holdout families were authored after earlier results were known. They were frozen before either model was run and were not revised afterwards, but this remains a newly authored set rather than a pre-existing holdout, and it is not a substitute for real-world validation.</w:t>
      </w:r>
    </w:p>
    <w:p>
      <w:pPr>
        <w:pStyle w:val="Heading1"/>
        <w:spacing w:after="140" w:before="300"/>
      </w:pPr>
      <w:r>
        <w:t xml:space="preserve">8. Safety engineering</w:t>
      </w:r>
    </w:p>
    <w:p>
      <w:pPr>
        <w:pStyle w:val="Heading2"/>
        <w:spacing w:after="140" w:before="300"/>
      </w:pPr>
      <w:r>
        <w:t xml:space="preserve">8.1 The AI is advisory, structurally</w:t>
      </w:r>
    </w:p>
    <w:p>
      <w:pPr>
        <w:spacing w:after="130" w:line="280"/>
      </w:pPr>
      <w:r>
        <w:t xml:space="preserve">The model emits text and can do nothing else. It holds no handle to identity, trust, synchronisation, the filesystem or any hardware, and derived intelligence is never replicated across the mesh. Prompt injection can therefore corrupt an analysis and nothing beyond it. Nineteen boundary tests assert this, several by inspecting the source rather than the runtime, because a runtime assertion shows only that today’s model did not do something.</w:t>
      </w:r>
    </w:p>
    <w:p>
      <w:pPr>
        <w:pStyle w:val="Heading2"/>
        <w:spacing w:after="140" w:before="300"/>
      </w:pPr>
      <w:r>
        <w:t xml:space="preserve">8.2 Prompt injection: what is and is not contained</w:t>
      </w:r>
    </w:p>
    <w:p>
      <w:pPr>
        <w:spacing w:after="130" w:line="280"/>
      </w:pPr>
      <w:r>
        <w:t xml:space="preserve">A fourteen-case adversarial corpus was run against both models. The results separate into two categories, and conflating them would overstate the defence.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shd w:fill="F2F2F2" w:color="auto" w:val="clear"/>
            <w:tcMar>
              <w:top w:type="dxa" w:w="70"/>
              <w:left w:type="dxa" w:w="120"/>
              <w:bottom w:type="dxa" w:w="70"/>
              <w:right w:type="dxa" w:w="120"/>
            </w:tcMar>
          </w:tcPr>
          <w:p>
            <w:r>
              <w:rPr>
                <w:b/>
                <w:bCs/>
                <w:sz w:val="19"/>
                <w:szCs w:val="19"/>
              </w:rPr>
              <w:t xml:space="preserve">Property</w:t>
            </w:r>
          </w:p>
        </w:tc>
        <w:tc>
          <w:tcPr>
            <w:tcW w:type="dxa" w:w="4326"/>
            <w:shd w:fill="F2F2F2" w:color="auto" w:val="clear"/>
            <w:tcMar>
              <w:top w:type="dxa" w:w="70"/>
              <w:left w:type="dxa" w:w="120"/>
              <w:bottom w:type="dxa" w:w="70"/>
              <w:right w:type="dxa" w:w="120"/>
            </w:tcMar>
          </w:tcPr>
          <w:p>
            <w:r>
              <w:rPr>
                <w:b/>
                <w:bCs/>
                <w:sz w:val="19"/>
                <w:szCs w:val="19"/>
              </w:rPr>
              <w:t xml:space="preserve">Result</w:t>
            </w:r>
          </w:p>
        </w:tc>
      </w:tr>
      <w:tr>
        <w:tc>
          <w:tcPr>
            <w:tcW w:type="dxa" w:w="4700"/>
            <w:tcMar>
              <w:top w:type="dxa" w:w="70"/>
              <w:left w:type="dxa" w:w="120"/>
              <w:bottom w:type="dxa" w:w="70"/>
              <w:right w:type="dxa" w:w="120"/>
            </w:tcMar>
          </w:tcPr>
          <w:p>
            <w:r>
              <w:rPr>
                <w:b w:val="false"/>
                <w:bCs w:val="false"/>
                <w:sz w:val="19"/>
                <w:szCs w:val="19"/>
              </w:rPr>
              <w:t xml:space="preserve">Control-marker containment, deterministic</w:t>
            </w:r>
          </w:p>
        </w:tc>
        <w:tc>
          <w:tcPr>
            <w:tcW w:type="dxa" w:w="4326"/>
            <w:tcMar>
              <w:top w:type="dxa" w:w="70"/>
              <w:left w:type="dxa" w:w="120"/>
              <w:bottom w:type="dxa" w:w="70"/>
              <w:right w:type="dxa" w:w="120"/>
            </w:tcMar>
          </w:tcPr>
          <w:p>
            <w:r>
              <w:rPr>
                <w:b w:val="false"/>
                <w:bCs w:val="false"/>
                <w:sz w:val="19"/>
                <w:szCs w:val="19"/>
              </w:rPr>
              <w:t xml:space="preserve">14 of 14 inputs fully contained</w:t>
            </w:r>
          </w:p>
        </w:tc>
      </w:tr>
      <w:tr>
        <w:tc>
          <w:tcPr>
            <w:tcW w:type="dxa" w:w="4700"/>
            <w:tcMar>
              <w:top w:type="dxa" w:w="70"/>
              <w:left w:type="dxa" w:w="120"/>
              <w:bottom w:type="dxa" w:w="70"/>
              <w:right w:type="dxa" w:w="120"/>
            </w:tcMar>
          </w:tcPr>
          <w:p>
            <w:r>
              <w:rPr>
                <w:b w:val="false"/>
                <w:bCs w:val="false"/>
                <w:sz w:val="19"/>
                <w:szCs w:val="19"/>
              </w:rPr>
              <w:t xml:space="preserve">Structured-output integrity under attack</w:t>
            </w:r>
          </w:p>
        </w:tc>
        <w:tc>
          <w:tcPr>
            <w:tcW w:type="dxa" w:w="4326"/>
            <w:tcMar>
              <w:top w:type="dxa" w:w="70"/>
              <w:left w:type="dxa" w:w="120"/>
              <w:bottom w:type="dxa" w:w="70"/>
              <w:right w:type="dxa" w:w="120"/>
            </w:tcMar>
          </w:tcPr>
          <w:p>
            <w:r>
              <w:rPr>
                <w:b w:val="false"/>
                <w:bCs w:val="false"/>
                <w:sz w:val="19"/>
                <w:szCs w:val="19"/>
              </w:rPr>
              <w:t xml:space="preserve">Valid and schema-valid 14 of 14, both models</w:t>
            </w:r>
          </w:p>
        </w:tc>
      </w:tr>
      <w:tr>
        <w:tc>
          <w:tcPr>
            <w:tcW w:type="dxa" w:w="4700"/>
            <w:tcMar>
              <w:top w:type="dxa" w:w="70"/>
              <w:left w:type="dxa" w:w="120"/>
              <w:bottom w:type="dxa" w:w="70"/>
              <w:right w:type="dxa" w:w="120"/>
            </w:tcMar>
          </w:tcPr>
          <w:p>
            <w:r>
              <w:rPr>
                <w:b w:val="false"/>
                <w:bCs w:val="false"/>
                <w:sz w:val="19"/>
                <w:szCs w:val="19"/>
              </w:rPr>
              <w:t xml:space="preserve">Format-break attempts succeeding</w:t>
            </w:r>
          </w:p>
        </w:tc>
        <w:tc>
          <w:tcPr>
            <w:tcW w:type="dxa" w:w="4326"/>
            <w:tcMar>
              <w:top w:type="dxa" w:w="70"/>
              <w:left w:type="dxa" w:w="120"/>
              <w:bottom w:type="dxa" w:w="70"/>
              <w:right w:type="dxa" w:w="120"/>
            </w:tcMar>
          </w:tcPr>
          <w:p>
            <w:r>
              <w:rPr>
                <w:b w:val="false"/>
                <w:bCs w:val="false"/>
                <w:sz w:val="19"/>
                <w:szCs w:val="19"/>
              </w:rPr>
              <w:t xml:space="preserve">0 of 6, both models</w:t>
            </w:r>
          </w:p>
        </w:tc>
      </w:tr>
      <w:tr>
        <w:tc>
          <w:tcPr>
            <w:tcW w:type="dxa" w:w="4700"/>
            <w:tcMar>
              <w:top w:type="dxa" w:w="70"/>
              <w:left w:type="dxa" w:w="120"/>
              <w:bottom w:type="dxa" w:w="70"/>
              <w:right w:type="dxa" w:w="120"/>
            </w:tcMar>
          </w:tcPr>
          <w:p>
            <w:r>
              <w:rPr>
                <w:b w:val="false"/>
                <w:bCs w:val="false"/>
                <w:sz w:val="19"/>
                <w:szCs w:val="19"/>
              </w:rPr>
              <w:t xml:space="preserve">Injected field values adopted, prose</w:t>
            </w:r>
          </w:p>
        </w:tc>
        <w:tc>
          <w:tcPr>
            <w:tcW w:type="dxa" w:w="4326"/>
            <w:tcMar>
              <w:top w:type="dxa" w:w="70"/>
              <w:left w:type="dxa" w:w="120"/>
              <w:bottom w:type="dxa" w:w="70"/>
              <w:right w:type="dxa" w:w="120"/>
            </w:tcMar>
          </w:tcPr>
          <w:p>
            <w:r>
              <w:rPr>
                <w:b w:val="false"/>
                <w:bCs w:val="false"/>
                <w:sz w:val="19"/>
                <w:szCs w:val="19"/>
              </w:rPr>
              <w:t xml:space="preserve">Stock 10 of 10; fine-tuned 9 of 10</w:t>
            </w:r>
          </w:p>
        </w:tc>
      </w:tr>
      <w:tr>
        <w:tc>
          <w:tcPr>
            <w:tcW w:type="dxa" w:w="4700"/>
            <w:tcMar>
              <w:top w:type="dxa" w:w="70"/>
              <w:left w:type="dxa" w:w="120"/>
              <w:bottom w:type="dxa" w:w="70"/>
              <w:right w:type="dxa" w:w="120"/>
            </w:tcMar>
          </w:tcPr>
          <w:p>
            <w:r>
              <w:rPr>
                <w:b w:val="false"/>
                <w:bCs w:val="false"/>
                <w:sz w:val="19"/>
                <w:szCs w:val="19"/>
              </w:rPr>
              <w:t xml:space="preserve">Attacker text leaking into valid fields</w:t>
            </w:r>
          </w:p>
        </w:tc>
        <w:tc>
          <w:tcPr>
            <w:tcW w:type="dxa" w:w="4326"/>
            <w:tcMar>
              <w:top w:type="dxa" w:w="70"/>
              <w:left w:type="dxa" w:w="120"/>
              <w:bottom w:type="dxa" w:w="70"/>
              <w:right w:type="dxa" w:w="120"/>
            </w:tcMar>
          </w:tcPr>
          <w:p>
            <w:r>
              <w:rPr>
                <w:b w:val="false"/>
                <w:bCs w:val="false"/>
                <w:sz w:val="19"/>
                <w:szCs w:val="19"/>
              </w:rPr>
              <w:t xml:space="preserve">2 of 14, both models</w:t>
            </w:r>
          </w:p>
        </w:tc>
      </w:tr>
    </w:tbl>
    <w:p>
      <w:pPr>
        <w:spacing w:after="180"/>
      </w:pPr>
    </w:p>
    <w:p>
      <w:pPr>
        <w:spacing w:after="130" w:line="280"/>
      </w:pPr>
      <w:r>
        <w:t xml:space="preserve">Structural defences hold completely. Prose-level instruction following does not: both models obey plain-language instructions embedded in report text. No claim of injection immunity is made, and fine-tuning bought no resistance to it.</w:t>
      </w:r>
    </w:p>
    <w:p>
      <w:pPr>
        <w:pStyle w:val="Heading2"/>
        <w:spacing w:after="140" w:before="300"/>
      </w:pPr>
      <w:r>
        <w:t xml:space="preserve">8.3 Deterministic consistency and operator review</w:t>
      </w:r>
    </w:p>
    <w:p>
      <w:pPr>
        <w:spacing w:after="130" w:line="280"/>
      </w:pPr>
      <w:r>
        <w:t xml:space="preserve">Because the model cannot be trusted to resist coercion, its answer is cross-checked after validation and before it reaches the operator. The rule layer reads the same report with no weights and no prompt, which is nothing an injected instruction can address, and disagreements are surfaced across five fields.</w:t>
      </w:r>
    </w:p>
    <w:p>
      <w:pPr>
        <w:pStyle w:val="ListParagraph"/>
        <w:numPr>
          <w:ilvl w:val="0"/>
          <w:numId w:val="2"/>
        </w:numPr>
        <w:spacing w:after="90" w:line="280"/>
      </w:pPr>
      <w:r>
        <w:t xml:space="preserve">Category, against the rule layer’s own classification, but only when its confidence clears the threshold the system already uses elsewhere.</w:t>
      </w:r>
    </w:p>
    <w:p>
      <w:pPr>
        <w:pStyle w:val="ListParagraph"/>
        <w:numPr>
          <w:ilvl w:val="0"/>
          <w:numId w:val="2"/>
        </w:numPr>
        <w:spacing w:after="90" w:line="280"/>
      </w:pPr>
      <w:r>
        <w:t xml:space="preserve">Severity, asymmetrically: any under-call is surfaced, because under-calling hides danger and is the failure that actually occurs in measurement. Over-calls are surfaced only when extreme.</w:t>
      </w:r>
    </w:p>
    <w:p>
      <w:pPr>
        <w:pStyle w:val="ListParagraph"/>
        <w:numPr>
          <w:ilvl w:val="0"/>
          <w:numId w:val="2"/>
        </w:numPr>
        <w:spacing w:after="90" w:line="280"/>
      </w:pPr>
      <w:r>
        <w:t xml:space="preserve">Access status, when OPEN is claimed against a blocked route, or asserted with no supporting evidence beside an active hazard.</w:t>
      </w:r>
    </w:p>
    <w:p>
      <w:pPr>
        <w:pStyle w:val="ListParagraph"/>
        <w:numPr>
          <w:ilvl w:val="0"/>
          <w:numId w:val="2"/>
        </w:numPr>
        <w:spacing w:after="90" w:line="280"/>
      </w:pPr>
      <w:r>
        <w:t xml:space="preserve">Entities, when the report states that people are involved and the analysis lists none.</w:t>
      </w:r>
    </w:p>
    <w:p>
      <w:pPr>
        <w:pStyle w:val="ListParagraph"/>
        <w:numPr>
          <w:ilvl w:val="0"/>
          <w:numId w:val="2"/>
        </w:numPr>
        <w:spacing w:after="90" w:line="280"/>
      </w:pPr>
      <w:r>
        <w:t xml:space="preserve">Summary, when its wording is largely absent from the report it claims to summarise.</w:t>
      </w:r>
    </w:p>
    <w:p>
      <w:pPr>
        <w:spacing w:after="130" w:line="280"/>
      </w:pPr>
      <w:r>
        <w:t xml:space="preserve">The layer never rewrites the model’s answer. It returns the model result, the deterministic evidence and the reason the two differ, and raises an operator-review flag. Asset and cause are reported as unchecked, because no defensible deterministic source exists for them and inventing one would manufacture false confidence.</w:t>
      </w:r>
    </w:p>
    <w:p>
      <w:pPr>
        <w:pStyle w:val="Heading2"/>
        <w:spacing w:after="140" w:before="300"/>
      </w:pPr>
      <w:r>
        <w:t xml:space="preserve">8.4 Model integrity</w:t>
      </w:r>
    </w:p>
    <w:p>
      <w:pPr>
        <w:spacing w:after="130" w:line="280"/>
      </w:pPr>
      <w:r>
        <w:t xml:space="preserve">A filename is not an identity. Anything placed at the configured path would previously have loaded, and every analysis it produced would have been stamped with the identifier of the model that was supposed to be there. Both models are now pinned by SHA-256 and verified immediately before the runtime is started; a mismatch stops the load with no fallback to another artifact. The check is deliberately absent from the dashboard-poll path, where hashing a gigabyte on every refresh would be a self-inflicted cost.</w:t>
      </w:r>
    </w:p>
    <w:p>
      <w:pPr>
        <w:pStyle w:val="Heading2"/>
        <w:spacing w:after="140" w:before="300"/>
      </w:pPr>
      <w:r>
        <w:t xml:space="preserve">8.5 Confidence removed</w:t>
      </w:r>
    </w:p>
    <w:p>
      <w:pPr>
        <w:spacing w:after="130" w:line="280"/>
      </w:pPr>
      <w:r>
        <w:t xml:space="preserve">The schema previously invited the model to state a confidence value. Measurement showed it emitting integers on mixed scales — 1, 2, 3, 50, 90, 100 — because the training targets contain no such field and the model had no convention to reproduce. Validation then clamped all of them to a single maximum, and the interface rendered that as one hundred per cent, so the least confident outputs displayed as the most certain. The field was removed from the schema and is discarded in validation. An honest absence is more useful to an operator than a confident-looking number with nothing behind it.</w:t>
      </w:r>
    </w:p>
    <w:p>
      <w:r>
        <w:br w:type="page"/>
      </w:r>
    </w:p>
    <w:p>
      <w:pPr>
        <w:pStyle w:val="Heading1"/>
        <w:spacing w:after="140" w:before="300"/>
      </w:pPr>
      <w:r>
        <w:t xml:space="preserve">9. Verification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00"/>
        <w:gridCol w:w="3926"/>
      </w:tblGrid>
      <w:tr>
        <w:trPr>
          <w:tblHeader/>
        </w:trPr>
        <w:tc>
          <w:tcPr>
            <w:tcW w:type="dxa" w:w="5100"/>
            <w:shd w:fill="F2F2F2" w:color="auto" w:val="clear"/>
            <w:tcMar>
              <w:top w:type="dxa" w:w="70"/>
              <w:left w:type="dxa" w:w="120"/>
              <w:bottom w:type="dxa" w:w="70"/>
              <w:right w:type="dxa" w:w="120"/>
            </w:tcMar>
          </w:tcPr>
          <w:p>
            <w:r>
              <w:rPr>
                <w:b/>
                <w:bCs/>
                <w:sz w:val="19"/>
                <w:szCs w:val="19"/>
              </w:rPr>
              <w:t xml:space="preserve">Suite</w:t>
            </w:r>
          </w:p>
        </w:tc>
        <w:tc>
          <w:tcPr>
            <w:tcW w:type="dxa" w:w="3926"/>
            <w:shd w:fill="F2F2F2" w:color="auto" w:val="clear"/>
            <w:tcMar>
              <w:top w:type="dxa" w:w="70"/>
              <w:left w:type="dxa" w:w="120"/>
              <w:bottom w:type="dxa" w:w="70"/>
              <w:right w:type="dxa" w:w="120"/>
            </w:tcMar>
          </w:tcPr>
          <w:p>
            <w:r>
              <w:rPr>
                <w:b/>
                <w:bCs/>
                <w:sz w:val="19"/>
                <w:szCs w:val="19"/>
              </w:rPr>
              <w:t xml:space="preserve">Result</w:t>
            </w:r>
          </w:p>
        </w:tc>
      </w:tr>
      <w:tr>
        <w:tc>
          <w:tcPr>
            <w:tcW w:type="dxa" w:w="5100"/>
            <w:tcMar>
              <w:top w:type="dxa" w:w="70"/>
              <w:left w:type="dxa" w:w="120"/>
              <w:bottom w:type="dxa" w:w="70"/>
              <w:right w:type="dxa" w:w="120"/>
            </w:tcMar>
          </w:tcPr>
          <w:p>
            <w:r>
              <w:rPr>
                <w:b w:val="false"/>
                <w:bCs w:val="false"/>
                <w:sz w:val="19"/>
                <w:szCs w:val="19"/>
              </w:rPr>
              <w:t xml:space="preserve">Rust tests, 16 binaries</w:t>
            </w:r>
          </w:p>
        </w:tc>
        <w:tc>
          <w:tcPr>
            <w:tcW w:type="dxa" w:w="3926"/>
            <w:tcMar>
              <w:top w:type="dxa" w:w="70"/>
              <w:left w:type="dxa" w:w="120"/>
              <w:bottom w:type="dxa" w:w="70"/>
              <w:right w:type="dxa" w:w="120"/>
            </w:tcMar>
          </w:tcPr>
          <w:p>
            <w:r>
              <w:rPr>
                <w:b w:val="false"/>
                <w:bCs w:val="false"/>
                <w:sz w:val="19"/>
                <w:szCs w:val="19"/>
              </w:rPr>
              <w:t xml:space="preserve">759 passed, 0 failed</w:t>
            </w:r>
          </w:p>
        </w:tc>
      </w:tr>
      <w:tr>
        <w:tc>
          <w:tcPr>
            <w:tcW w:type="dxa" w:w="5100"/>
            <w:tcMar>
              <w:top w:type="dxa" w:w="70"/>
              <w:left w:type="dxa" w:w="120"/>
              <w:bottom w:type="dxa" w:w="70"/>
              <w:right w:type="dxa" w:w="120"/>
            </w:tcMar>
          </w:tcPr>
          <w:p>
            <w:r>
              <w:rPr>
                <w:b w:val="false"/>
                <w:bCs w:val="false"/>
                <w:sz w:val="19"/>
                <w:szCs w:val="19"/>
              </w:rPr>
              <w:t xml:space="preserve">AI trust-boundary integration tests</w:t>
            </w:r>
          </w:p>
        </w:tc>
        <w:tc>
          <w:tcPr>
            <w:tcW w:type="dxa" w:w="3926"/>
            <w:tcMar>
              <w:top w:type="dxa" w:w="70"/>
              <w:left w:type="dxa" w:w="120"/>
              <w:bottom w:type="dxa" w:w="70"/>
              <w:right w:type="dxa" w:w="120"/>
            </w:tcMar>
          </w:tcPr>
          <w:p>
            <w:r>
              <w:rPr>
                <w:b w:val="false"/>
                <w:bCs w:val="false"/>
                <w:sz w:val="19"/>
                <w:szCs w:val="19"/>
              </w:rPr>
              <w:t xml:space="preserve">29 passed</w:t>
            </w:r>
          </w:p>
        </w:tc>
      </w:tr>
      <w:tr>
        <w:tc>
          <w:tcPr>
            <w:tcW w:type="dxa" w:w="5100"/>
            <w:tcMar>
              <w:top w:type="dxa" w:w="70"/>
              <w:left w:type="dxa" w:w="120"/>
              <w:bottom w:type="dxa" w:w="70"/>
              <w:right w:type="dxa" w:w="120"/>
            </w:tcMar>
          </w:tcPr>
          <w:p>
            <w:r>
              <w:rPr>
                <w:b w:val="false"/>
                <w:bCs w:val="false"/>
                <w:sz w:val="19"/>
                <w:szCs w:val="19"/>
              </w:rPr>
              <w:t xml:space="preserve">Mesh over real QUIC, replication, trust, determinism</w:t>
            </w:r>
          </w:p>
        </w:tc>
        <w:tc>
          <w:tcPr>
            <w:tcW w:type="dxa" w:w="3926"/>
            <w:tcMar>
              <w:top w:type="dxa" w:w="70"/>
              <w:left w:type="dxa" w:w="120"/>
              <w:bottom w:type="dxa" w:w="70"/>
              <w:right w:type="dxa" w:w="120"/>
            </w:tcMar>
          </w:tcPr>
          <w:p>
            <w:r>
              <w:rPr>
                <w:b w:val="false"/>
                <w:bCs w:val="false"/>
                <w:sz w:val="19"/>
                <w:szCs w:val="19"/>
              </w:rPr>
              <w:t xml:space="preserve">4, 25, 26 and 16 passed</w:t>
            </w:r>
          </w:p>
        </w:tc>
      </w:tr>
      <w:tr>
        <w:tc>
          <w:tcPr>
            <w:tcW w:type="dxa" w:w="5100"/>
            <w:tcMar>
              <w:top w:type="dxa" w:w="70"/>
              <w:left w:type="dxa" w:w="120"/>
              <w:bottom w:type="dxa" w:w="70"/>
              <w:right w:type="dxa" w:w="120"/>
            </w:tcMar>
          </w:tcPr>
          <w:p>
            <w:r>
              <w:rPr>
                <w:b w:val="false"/>
                <w:bCs w:val="false"/>
                <w:sz w:val="19"/>
                <w:szCs w:val="19"/>
              </w:rPr>
              <w:t xml:space="preserve">Prompt-mirror drift guard, including mutation checks</w:t>
            </w:r>
          </w:p>
        </w:tc>
        <w:tc>
          <w:tcPr>
            <w:tcW w:type="dxa" w:w="3926"/>
            <w:tcMar>
              <w:top w:type="dxa" w:w="70"/>
              <w:left w:type="dxa" w:w="120"/>
              <w:bottom w:type="dxa" w:w="70"/>
              <w:right w:type="dxa" w:w="120"/>
            </w:tcMar>
          </w:tcPr>
          <w:p>
            <w:r>
              <w:rPr>
                <w:b w:val="false"/>
                <w:bCs w:val="false"/>
                <w:sz w:val="19"/>
                <w:szCs w:val="19"/>
              </w:rPr>
              <w:t xml:space="preserve">12 passed</w:t>
            </w:r>
          </w:p>
        </w:tc>
      </w:tr>
      <w:tr>
        <w:tc>
          <w:tcPr>
            <w:tcW w:type="dxa" w:w="5100"/>
            <w:tcMar>
              <w:top w:type="dxa" w:w="70"/>
              <w:left w:type="dxa" w:w="120"/>
              <w:bottom w:type="dxa" w:w="70"/>
              <w:right w:type="dxa" w:w="120"/>
            </w:tcMar>
          </w:tcPr>
          <w:p>
            <w:r>
              <w:rPr>
                <w:b w:val="false"/>
                <w:bCs w:val="false"/>
                <w:sz w:val="19"/>
                <w:szCs w:val="19"/>
              </w:rPr>
              <w:t xml:space="preserve">Frontend tests</w:t>
            </w:r>
          </w:p>
        </w:tc>
        <w:tc>
          <w:tcPr>
            <w:tcW w:type="dxa" w:w="3926"/>
            <w:tcMar>
              <w:top w:type="dxa" w:w="70"/>
              <w:left w:type="dxa" w:w="120"/>
              <w:bottom w:type="dxa" w:w="70"/>
              <w:right w:type="dxa" w:w="120"/>
            </w:tcMar>
          </w:tcPr>
          <w:p>
            <w:r>
              <w:rPr>
                <w:b w:val="false"/>
                <w:bCs w:val="false"/>
                <w:sz w:val="19"/>
                <w:szCs w:val="19"/>
              </w:rPr>
              <w:t xml:space="preserve">116 passed</w:t>
            </w:r>
          </w:p>
        </w:tc>
      </w:tr>
      <w:tr>
        <w:tc>
          <w:tcPr>
            <w:tcW w:type="dxa" w:w="5100"/>
            <w:tcMar>
              <w:top w:type="dxa" w:w="70"/>
              <w:left w:type="dxa" w:w="120"/>
              <w:bottom w:type="dxa" w:w="70"/>
              <w:right w:type="dxa" w:w="120"/>
            </w:tcMar>
          </w:tcPr>
          <w:p>
            <w:r>
              <w:rPr>
                <w:b w:val="false"/>
                <w:bCs w:val="false"/>
                <w:sz w:val="19"/>
                <w:szCs w:val="19"/>
              </w:rPr>
              <w:t xml:space="preserve">TypeScript compilation</w:t>
            </w:r>
          </w:p>
        </w:tc>
        <w:tc>
          <w:tcPr>
            <w:tcW w:type="dxa" w:w="3926"/>
            <w:tcMar>
              <w:top w:type="dxa" w:w="70"/>
              <w:left w:type="dxa" w:w="120"/>
              <w:bottom w:type="dxa" w:w="70"/>
              <w:right w:type="dxa" w:w="120"/>
            </w:tcMar>
          </w:tcPr>
          <w:p>
            <w:r>
              <w:rPr>
                <w:b w:val="false"/>
                <w:bCs w:val="false"/>
                <w:sz w:val="19"/>
                <w:szCs w:val="19"/>
              </w:rPr>
              <w:t xml:space="preserve">Clean, with unused-symbol checks enabled</w:t>
            </w:r>
          </w:p>
        </w:tc>
      </w:tr>
    </w:tbl>
    <w:p>
      <w:pPr>
        <w:spacing w:after="180"/>
      </w:pPr>
    </w:p>
    <w:p>
      <w:pPr>
        <w:spacing w:after="130" w:line="280"/>
      </w:pPr>
      <w:r>
        <w:t xml:space="preserve">Two guards deserve specific mention. The drift guard compares the Rust prompt schema against the Python evaluation mirror and fails loudly on divergence; its six mutation tests confirm that it actually detects drift rather than merely passing against the current file. It exists because a real divergence — a schema field removed in Rust but left in the mirror — once invalidated an entire evaluation run and was caught by luck rather than by a test.</w:t>
      </w:r>
    </w:p>
    <w:p>
      <w:pPr>
        <w:spacing w:after="130" w:line="280"/>
      </w:pPr>
      <w:r>
        <w:t xml:space="preserve">Model artifacts, datasets and the holdout are pinned by hash and verified unchanged at each stage, so a result can be attributed to a specific artifact rather than to a filename.</w:t>
      </w:r>
    </w:p>
    <w:p>
      <w:pPr>
        <w:pStyle w:val="Heading1"/>
        <w:spacing w:after="140" w:before="300"/>
      </w:pPr>
      <w:r>
        <w:t xml:space="preserve">10. Hardware and deployment</w:t>
      </w:r>
    </w:p>
    <w:p>
      <w:pPr>
        <w:spacing w:after="130" w:line="280"/>
      </w:pPr>
      <w:r>
        <w:t xml:space="preserve">The platform study evaluated the Jetson Orin Nano 8GB, the Jetson Orin NX 16GB and the NXP i.MX 8M Plus, and recommends the Orin Nano for the eventual hardware node. For the current prototype stage a Raspberry Pi 4 with 4 GB carries the model, with a second board running as a mesh node with intelligence disabled, which is a configuration the codebase supports and tests.</w:t>
      </w:r>
    </w:p>
    <w:p>
      <w:pPr>
        <w:spacing w:after="130" w:line="280"/>
      </w:pPr>
      <w:r>
        <w:t xml:space="preserve">The runtime path was made platform-portable so that a Linux ARM64 node resolves the executable correctly, and generation threads are now derived from the available core count rather than fixed, which prevents oversubscription on a four-core board.</w:t>
      </w:r>
    </w:p>
    <w:p>
      <w:pPr>
        <w:spacing w:after="130" w:line="280"/>
      </w:pPr>
      <w:r>
        <w:t xml:space="preserve">Analysis latency on ARM has not been measured. The figures in Section 7 come from an x86-64 development machine. A 1.5B Q4_K_M model on a Raspberry Pi 4 is expected to be substantially slower, plausibly minutes rather than seconds per analysis, but that is an expectation derived from memory bandwidth rather than an observation and should not be quoted as a measurement.</w:t>
      </w:r>
    </w:p>
    <w:p>
      <w:pPr>
        <w:pStyle w:val="Heading1"/>
        <w:spacing w:after="140" w:before="300"/>
      </w:pPr>
      <w:r>
        <w:t xml:space="preserve">11. Limitations</w:t>
      </w:r>
    </w:p>
    <w:p>
      <w:pPr>
        <w:spacing w:after="130" w:line="280"/>
      </w:pPr>
      <w:r>
        <w:t xml:space="preserve">Stated plainly, because a reader needs them in order to judge what this is fit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F2F2F2" w:color="auto" w:val="clear"/>
            <w:tcMar>
              <w:top w:type="dxa" w:w="70"/>
              <w:left w:type="dxa" w:w="120"/>
              <w:bottom w:type="dxa" w:w="70"/>
              <w:right w:type="dxa" w:w="120"/>
            </w:tcMar>
          </w:tcPr>
          <w:p>
            <w:r>
              <w:rPr>
                <w:b/>
                <w:bCs/>
                <w:sz w:val="19"/>
                <w:szCs w:val="19"/>
              </w:rPr>
              <w:t xml:space="preserve">Limitation</w:t>
            </w:r>
          </w:p>
        </w:tc>
        <w:tc>
          <w:tcPr>
            <w:tcW w:type="dxa" w:w="6126"/>
            <w:shd w:fill="F2F2F2" w:color="auto" w:val="clear"/>
            <w:tcMar>
              <w:top w:type="dxa" w:w="70"/>
              <w:left w:type="dxa" w:w="120"/>
              <w:bottom w:type="dxa" w:w="70"/>
              <w:right w:type="dxa" w:w="120"/>
            </w:tcMar>
          </w:tcPr>
          <w:p>
            <w:r>
              <w:rPr>
                <w:b/>
                <w:bCs/>
                <w:sz w:val="19"/>
                <w:szCs w:val="19"/>
              </w:rPr>
              <w:t xml:space="preserve">Detail</w:t>
            </w:r>
          </w:p>
        </w:tc>
      </w:tr>
      <w:tr>
        <w:tc>
          <w:tcPr>
            <w:tcW w:type="dxa" w:w="2900"/>
            <w:tcMar>
              <w:top w:type="dxa" w:w="70"/>
              <w:left w:type="dxa" w:w="120"/>
              <w:bottom w:type="dxa" w:w="70"/>
              <w:right w:type="dxa" w:w="120"/>
            </w:tcMar>
          </w:tcPr>
          <w:p>
            <w:r>
              <w:rPr>
                <w:b w:val="false"/>
                <w:bCs w:val="false"/>
                <w:sz w:val="19"/>
                <w:szCs w:val="19"/>
              </w:rPr>
              <w:t xml:space="preserve">No confidential computing</w:t>
            </w:r>
          </w:p>
        </w:tc>
        <w:tc>
          <w:tcPr>
            <w:tcW w:type="dxa" w:w="6126"/>
            <w:tcMar>
              <w:top w:type="dxa" w:w="70"/>
              <w:left w:type="dxa" w:w="120"/>
              <w:bottom w:type="dxa" w:w="70"/>
              <w:right w:type="dxa" w:w="120"/>
            </w:tcMar>
          </w:tcPr>
          <w:p>
            <w:r>
              <w:rPr>
                <w:b w:val="false"/>
                <w:bCs w:val="false"/>
                <w:sz w:val="19"/>
                <w:szCs w:val="19"/>
              </w:rPr>
              <w:t xml:space="preserve">This is an ordinary operating-system process. A normal process is not a TEE, and a TPM is not a TEE. Designed, not built.</w:t>
            </w:r>
          </w:p>
        </w:tc>
      </w:tr>
      <w:tr>
        <w:tc>
          <w:tcPr>
            <w:tcW w:type="dxa" w:w="2900"/>
            <w:tcMar>
              <w:top w:type="dxa" w:w="70"/>
              <w:left w:type="dxa" w:w="120"/>
              <w:bottom w:type="dxa" w:w="70"/>
              <w:right w:type="dxa" w:w="120"/>
            </w:tcMar>
          </w:tcPr>
          <w:p>
            <w:r>
              <w:rPr>
                <w:b w:val="false"/>
                <w:bCs w:val="false"/>
                <w:sz w:val="19"/>
                <w:szCs w:val="19"/>
              </w:rPr>
              <w:t xml:space="preserve">Prose-level prompt injection</w:t>
            </w:r>
          </w:p>
        </w:tc>
        <w:tc>
          <w:tcPr>
            <w:tcW w:type="dxa" w:w="6126"/>
            <w:tcMar>
              <w:top w:type="dxa" w:w="70"/>
              <w:left w:type="dxa" w:w="120"/>
              <w:bottom w:type="dxa" w:w="70"/>
              <w:right w:type="dxa" w:w="120"/>
            </w:tcMar>
          </w:tcPr>
          <w:p>
            <w:r>
              <w:rPr>
                <w:b w:val="false"/>
                <w:bCs w:val="false"/>
                <w:sz w:val="19"/>
                <w:szCs w:val="19"/>
              </w:rPr>
              <w:t xml:space="preserve">Contained downstream by review signals, not resisted by the model. Safety depends on an operator reading the flag.</w:t>
            </w:r>
          </w:p>
        </w:tc>
      </w:tr>
      <w:tr>
        <w:tc>
          <w:tcPr>
            <w:tcW w:type="dxa" w:w="2900"/>
            <w:tcMar>
              <w:top w:type="dxa" w:w="70"/>
              <w:left w:type="dxa" w:w="120"/>
              <w:bottom w:type="dxa" w:w="70"/>
              <w:right w:type="dxa" w:w="120"/>
            </w:tcMar>
          </w:tcPr>
          <w:p>
            <w:r>
              <w:rPr>
                <w:b w:val="false"/>
                <w:bCs w:val="false"/>
                <w:sz w:val="19"/>
                <w:szCs w:val="19"/>
              </w:rPr>
              <w:t xml:space="preserve">Revocation does not propagate</w:t>
            </w:r>
          </w:p>
        </w:tc>
        <w:tc>
          <w:tcPr>
            <w:tcW w:type="dxa" w:w="6126"/>
            <w:tcMar>
              <w:top w:type="dxa" w:w="70"/>
              <w:left w:type="dxa" w:w="120"/>
              <w:bottom w:type="dxa" w:w="70"/>
              <w:right w:type="dxa" w:w="120"/>
            </w:tcMar>
          </w:tcPr>
          <w:p>
            <w:r>
              <w:rPr>
                <w:b w:val="false"/>
                <w:bCs w:val="false"/>
                <w:sz w:val="19"/>
                <w:szCs w:val="19"/>
              </w:rPr>
              <w:t xml:space="preserve">A trust decision is local. A partitioned node cannot learn of a revocation until something reaches it.</w:t>
            </w:r>
          </w:p>
        </w:tc>
      </w:tr>
      <w:tr>
        <w:tc>
          <w:tcPr>
            <w:tcW w:type="dxa" w:w="2900"/>
            <w:tcMar>
              <w:top w:type="dxa" w:w="70"/>
              <w:left w:type="dxa" w:w="120"/>
              <w:bottom w:type="dxa" w:w="70"/>
              <w:right w:type="dxa" w:w="120"/>
            </w:tcMar>
          </w:tcPr>
          <w:p>
            <w:r>
              <w:rPr>
                <w:b w:val="false"/>
                <w:bCs w:val="false"/>
                <w:sz w:val="19"/>
                <w:szCs w:val="19"/>
              </w:rPr>
              <w:t xml:space="preserve">Not end-to-end encrypted</w:t>
            </w:r>
          </w:p>
        </w:tc>
        <w:tc>
          <w:tcPr>
            <w:tcW w:type="dxa" w:w="6126"/>
            <w:tcMar>
              <w:top w:type="dxa" w:w="70"/>
              <w:left w:type="dxa" w:w="120"/>
              <w:bottom w:type="dxa" w:w="70"/>
              <w:right w:type="dxa" w:w="120"/>
            </w:tcMar>
          </w:tcPr>
          <w:p>
            <w:r>
              <w:rPr>
                <w:b w:val="false"/>
                <w:bCs w:val="false"/>
                <w:sz w:val="19"/>
                <w:szCs w:val="19"/>
              </w:rPr>
              <w:t xml:space="preserve">QUIC protects each hop. A relay node reads the plaintext it forwards, though it can neither forge nor alter it.</w:t>
            </w:r>
          </w:p>
        </w:tc>
      </w:tr>
      <w:tr>
        <w:tc>
          <w:tcPr>
            <w:tcW w:type="dxa" w:w="2900"/>
            <w:tcMar>
              <w:top w:type="dxa" w:w="70"/>
              <w:left w:type="dxa" w:w="120"/>
              <w:bottom w:type="dxa" w:w="70"/>
              <w:right w:type="dxa" w:w="120"/>
            </w:tcMar>
          </w:tcPr>
          <w:p>
            <w:r>
              <w:rPr>
                <w:b w:val="false"/>
                <w:bCs w:val="false"/>
                <w:sz w:val="19"/>
                <w:szCs w:val="19"/>
              </w:rPr>
              <w:t xml:space="preserve">Private key unencrypted at rest</w:t>
            </w:r>
          </w:p>
        </w:tc>
        <w:tc>
          <w:tcPr>
            <w:tcW w:type="dxa" w:w="6126"/>
            <w:tcMar>
              <w:top w:type="dxa" w:w="70"/>
              <w:left w:type="dxa" w:w="120"/>
              <w:bottom w:type="dxa" w:w="70"/>
              <w:right w:type="dxa" w:w="120"/>
            </w:tcMar>
          </w:tcPr>
          <w:p>
            <w:r>
              <w:rPr>
                <w:b w:val="false"/>
                <w:bCs w:val="false"/>
                <w:sz w:val="19"/>
                <w:szCs w:val="19"/>
              </w:rPr>
              <w:t xml:space="preserve">Protected by operating-system file permissions only.</w:t>
            </w:r>
          </w:p>
        </w:tc>
      </w:tr>
      <w:tr>
        <w:tc>
          <w:tcPr>
            <w:tcW w:type="dxa" w:w="2900"/>
            <w:tcMar>
              <w:top w:type="dxa" w:w="70"/>
              <w:left w:type="dxa" w:w="120"/>
              <w:bottom w:type="dxa" w:w="70"/>
              <w:right w:type="dxa" w:w="120"/>
            </w:tcMar>
          </w:tcPr>
          <w:p>
            <w:r>
              <w:rPr>
                <w:b w:val="false"/>
                <w:bCs w:val="false"/>
                <w:sz w:val="19"/>
                <w:szCs w:val="19"/>
              </w:rPr>
              <w:t xml:space="preserve">No operator authentication</w:t>
            </w:r>
          </w:p>
        </w:tc>
        <w:tc>
          <w:tcPr>
            <w:tcW w:type="dxa" w:w="6126"/>
            <w:tcMar>
              <w:top w:type="dxa" w:w="70"/>
              <w:left w:type="dxa" w:w="120"/>
              <w:bottom w:type="dxa" w:w="70"/>
              <w:right w:type="dxa" w:w="120"/>
            </w:tcMar>
          </w:tcPr>
          <w:p>
            <w:r>
              <w:rPr>
                <w:b w:val="false"/>
                <w:bCs w:val="false"/>
                <w:sz w:val="19"/>
                <w:szCs w:val="19"/>
              </w:rPr>
              <w:t xml:space="preserve">Anyone who can open the application is the operator.</w:t>
            </w:r>
          </w:p>
        </w:tc>
      </w:tr>
      <w:tr>
        <w:tc>
          <w:tcPr>
            <w:tcW w:type="dxa" w:w="2900"/>
            <w:tcMar>
              <w:top w:type="dxa" w:w="70"/>
              <w:left w:type="dxa" w:w="120"/>
              <w:bottom w:type="dxa" w:w="70"/>
              <w:right w:type="dxa" w:w="120"/>
            </w:tcMar>
          </w:tcPr>
          <w:p>
            <w:r>
              <w:rPr>
                <w:b w:val="false"/>
                <w:bCs w:val="false"/>
                <w:sz w:val="19"/>
                <w:szCs w:val="19"/>
              </w:rPr>
              <w:t xml:space="preserve">Physical two-node hardware validation</w:t>
            </w:r>
          </w:p>
        </w:tc>
        <w:tc>
          <w:tcPr>
            <w:tcW w:type="dxa" w:w="6126"/>
            <w:tcMar>
              <w:top w:type="dxa" w:w="70"/>
              <w:left w:type="dxa" w:w="120"/>
              <w:bottom w:type="dxa" w:w="70"/>
              <w:right w:type="dxa" w:w="120"/>
            </w:tcMar>
          </w:tcPr>
          <w:p>
            <w:r>
              <w:rPr>
                <w:b w:val="false"/>
                <w:bCs w:val="false"/>
                <w:sz w:val="19"/>
                <w:szCs w:val="19"/>
              </w:rPr>
              <w:t xml:space="preserve">Not yet performed. Code-level compatibility passes; hardware validation is outstanding.</w:t>
            </w:r>
          </w:p>
        </w:tc>
      </w:tr>
      <w:tr>
        <w:tc>
          <w:tcPr>
            <w:tcW w:type="dxa" w:w="2900"/>
            <w:tcMar>
              <w:top w:type="dxa" w:w="70"/>
              <w:left w:type="dxa" w:w="120"/>
              <w:bottom w:type="dxa" w:w="70"/>
              <w:right w:type="dxa" w:w="120"/>
            </w:tcMar>
          </w:tcPr>
          <w:p>
            <w:r>
              <w:rPr>
                <w:b w:val="false"/>
                <w:bCs w:val="false"/>
                <w:sz w:val="19"/>
                <w:szCs w:val="19"/>
              </w:rPr>
              <w:t xml:space="preserve">Not security reviewed</w:t>
            </w:r>
          </w:p>
        </w:tc>
        <w:tc>
          <w:tcPr>
            <w:tcW w:type="dxa" w:w="6126"/>
            <w:tcMar>
              <w:top w:type="dxa" w:w="70"/>
              <w:left w:type="dxa" w:w="120"/>
              <w:bottom w:type="dxa" w:w="70"/>
              <w:right w:type="dxa" w:w="120"/>
            </w:tcMar>
          </w:tcPr>
          <w:p>
            <w:r>
              <w:rPr>
                <w:b w:val="false"/>
                <w:bCs w:val="false"/>
                <w:sz w:val="19"/>
                <w:szCs w:val="19"/>
              </w:rPr>
              <w:t xml:space="preserve">No penetration test and no independent audit.</w:t>
            </w:r>
          </w:p>
        </w:tc>
      </w:tr>
    </w:tbl>
    <w:p>
      <w:pPr>
        <w:spacing w:after="180"/>
      </w:pPr>
    </w:p>
    <w:p>
      <w:pPr>
        <w:spacing w:after="130" w:line="280"/>
      </w:pPr>
      <w:r>
        <w:t xml:space="preserve">This is a prototype and must not be used to handle real operational data.</w:t>
      </w:r>
    </w:p>
    <w:p>
      <w:pPr>
        <w:pStyle w:val="Heading1"/>
        <w:spacing w:after="140" w:before="300"/>
      </w:pPr>
      <w:r>
        <w:t xml:space="preserve">12. Next steps</w:t>
      </w:r>
    </w:p>
    <w:p>
      <w:pPr>
        <w:pStyle w:val="ListParagraph"/>
        <w:numPr>
          <w:ilvl w:val="0"/>
          <w:numId w:val="2"/>
        </w:numPr>
        <w:spacing w:after="90" w:line="280"/>
      </w:pPr>
      <w:r>
        <w:t xml:space="preserve">Physical two-node validation over real QUIC and mDNS between a laptop and a single-board computer, with the model versions deliberately differing between the nodes.</w:t>
      </w:r>
    </w:p>
    <w:p>
      <w:pPr>
        <w:pStyle w:val="ListParagraph"/>
        <w:numPr>
          <w:ilvl w:val="0"/>
          <w:numId w:val="2"/>
        </w:numPr>
        <w:spacing w:after="90" w:line="280"/>
      </w:pPr>
      <w:r>
        <w:t xml:space="preserve">Measurement of inference latency on the target board, which determines whether on-device analysis is viable at this model size.</w:t>
      </w:r>
    </w:p>
    <w:p>
      <w:pPr>
        <w:pStyle w:val="ListParagraph"/>
        <w:numPr>
          <w:ilvl w:val="0"/>
          <w:numId w:val="2"/>
        </w:numPr>
        <w:spacing w:after="90" w:line="280"/>
      </w:pPr>
      <w:r>
        <w:t xml:space="preserve">Mesh hardening: revocation propagation and per-peer rate limiting.</w:t>
      </w:r>
    </w:p>
    <w:p>
      <w:pPr>
        <w:pStyle w:val="ListParagraph"/>
        <w:numPr>
          <w:ilvl w:val="0"/>
          <w:numId w:val="2"/>
        </w:numPr>
        <w:spacing w:after="90" w:line="280"/>
      </w:pPr>
      <w:r>
        <w:t xml:space="preserve">Hardware-backed key storage, which requires the keystore to become a signer rather than a vault.</w:t>
      </w:r>
    </w:p>
    <w:p>
      <w:pPr>
        <w:pStyle w:val="ListParagraph"/>
        <w:numPr>
          <w:ilvl w:val="0"/>
          <w:numId w:val="2"/>
        </w:numPr>
        <w:spacing w:after="90" w:line="280"/>
      </w:pPr>
      <w:r>
        <w:t xml:space="preserve">An independently authored evaluation set, to remove the authorship bias present in the current holdout.</w:t>
      </w:r>
    </w:p>
    <w:p>
      <w:pPr>
        <w:pBdr>
          <w:top w:val="single" w:color="BFBFBF" w:sz="6"/>
        </w:pBdr>
        <w:spacing w:after="180" w:before="220"/>
      </w:pPr>
    </w:p>
    <w:p>
      <w:pPr>
        <w:spacing w:after="130" w:line="280"/>
      </w:pPr>
      <w:r>
        <w:rPr>
          <w:color w:val="595959"/>
          <w:sz w:val="18"/>
          <w:szCs w:val="18"/>
        </w:rPr>
        <w:t xml:space="preserve">Repository documentation referenced in this report: ARCHITECTURE.md, SECURITY.md, ROADMAP.md, PLATFORM_EVALUATION.md, EVALUATION.md, FINETUNING.md, PROVISIONING.md and DEPLOYMENT_CHECKLIST.md.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2026-09-22T16:23:40.391Z</dcterms:created>
  <dcterms:modified xsi:type="dcterms:W3CDTF">2026-09-22T16:23:40.392Z</dcterms:modified>
</cp:coreProperties>
</file>

<file path=docProps/custom.xml><?xml version="1.0" encoding="utf-8"?>
<Properties xmlns="http://schemas.openxmlformats.org/officeDocument/2006/custom-properties" xmlns:vt="http://schemas.openxmlformats.org/officeDocument/2006/docPropsVTypes"/>
</file>