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Renivet Corporate Order Current State</w:t>
      </w:r>
    </w:p>
    <w:p>
      <w:pPr>
        <w:spacing w:after="360"/>
      </w:pPr>
      <w:r>
        <w:rPr>
          <w:color w:val="3F6045"/>
          <w:sz w:val="30"/>
        </w:rPr>
        <w:t>Current UI, features, document chain, required flow, and implementation gaps</w:t>
      </w:r>
    </w:p>
    <w:p>
      <w:pPr>
        <w:spacing w:after="120" w:line="269" w:lineRule="auto"/>
      </w:pPr>
      <w:r>
        <w:t>Prepared for product, operations, finance, and engineering alignment. This report describes what is currently implemented in the repository, what the current document previews show, and what is still required for a dependable corporate procurement workflow.</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Report detail</w:t>
            </w:r>
          </w:p>
        </w:tc>
        <w:tc>
          <w:tcPr>
            <w:tcW w:type="dxa" w:w="5083"/>
            <w:vAlign w:val="center"/>
            <w:shd w:fill="3F6045"/>
          </w:tcPr>
          <w:p>
            <w:pPr>
              <w:spacing w:after="40"/>
            </w:pPr>
            <w:r/>
            <w:r>
              <w:rPr>
                <w:rFonts w:ascii="Aptos" w:hAnsi="Aptos"/>
                <w:b/>
                <w:color w:val="FFFFFF"/>
                <w:sz w:val="17"/>
              </w:rPr>
              <w:t>Value</w:t>
            </w:r>
          </w:p>
        </w:tc>
      </w:tr>
      <w:tr>
        <w:tc>
          <w:tcPr>
            <w:tcW w:type="dxa" w:w="5083"/>
            <w:vAlign w:val="center"/>
          </w:tcPr>
          <w:p>
            <w:pPr>
              <w:spacing w:after="40"/>
            </w:pPr>
            <w:r/>
            <w:r>
              <w:rPr>
                <w:rFonts w:ascii="Aptos" w:hAnsi="Aptos"/>
                <w:b w:val="0"/>
                <w:color w:val="172033"/>
                <w:sz w:val="17"/>
              </w:rPr>
              <w:t>Repository reviewed</w:t>
            </w:r>
          </w:p>
        </w:tc>
        <w:tc>
          <w:tcPr>
            <w:tcW w:type="dxa" w:w="5083"/>
            <w:vAlign w:val="center"/>
          </w:tcPr>
          <w:p>
            <w:pPr>
              <w:spacing w:after="40"/>
            </w:pPr>
            <w:r/>
            <w:r>
              <w:rPr>
                <w:rFonts w:ascii="Aptos" w:hAnsi="Aptos"/>
                <w:b w:val="0"/>
                <w:color w:val="172033"/>
                <w:sz w:val="17"/>
              </w:rPr>
              <w:t>C:\Personal Projects\renivet-marketplace</w:t>
            </w:r>
          </w:p>
        </w:tc>
      </w:tr>
      <w:tr>
        <w:tc>
          <w:tcPr>
            <w:tcW w:type="dxa" w:w="5083"/>
            <w:vAlign w:val="center"/>
            <w:shd w:fill="F7F9F5"/>
          </w:tcPr>
          <w:p>
            <w:pPr>
              <w:spacing w:after="40"/>
            </w:pPr>
            <w:r/>
            <w:r>
              <w:rPr>
                <w:rFonts w:ascii="Aptos" w:hAnsi="Aptos"/>
                <w:b w:val="0"/>
                <w:color w:val="172033"/>
                <w:sz w:val="17"/>
              </w:rPr>
              <w:t>Review date</w:t>
            </w:r>
          </w:p>
        </w:tc>
        <w:tc>
          <w:tcPr>
            <w:tcW w:type="dxa" w:w="5083"/>
            <w:vAlign w:val="center"/>
            <w:shd w:fill="F7F9F5"/>
          </w:tcPr>
          <w:p>
            <w:pPr>
              <w:spacing w:after="40"/>
            </w:pPr>
            <w:r/>
            <w:r>
              <w:rPr>
                <w:rFonts w:ascii="Aptos" w:hAnsi="Aptos"/>
                <w:b w:val="0"/>
                <w:color w:val="172033"/>
                <w:sz w:val="17"/>
              </w:rPr>
              <w:t>06 October 2026</w:t>
            </w:r>
          </w:p>
        </w:tc>
      </w:tr>
      <w:tr>
        <w:tc>
          <w:tcPr>
            <w:tcW w:type="dxa" w:w="5083"/>
            <w:vAlign w:val="center"/>
          </w:tcPr>
          <w:p>
            <w:pPr>
              <w:spacing w:after="40"/>
            </w:pPr>
            <w:r/>
            <w:r>
              <w:rPr>
                <w:rFonts w:ascii="Aptos" w:hAnsi="Aptos"/>
                <w:b w:val="0"/>
                <w:color w:val="172033"/>
                <w:sz w:val="17"/>
              </w:rPr>
              <w:t>Scope</w:t>
            </w:r>
          </w:p>
        </w:tc>
        <w:tc>
          <w:tcPr>
            <w:tcW w:type="dxa" w:w="5083"/>
            <w:vAlign w:val="center"/>
          </w:tcPr>
          <w:p>
            <w:pPr>
              <w:spacing w:after="40"/>
            </w:pPr>
            <w:r/>
            <w:r>
              <w:rPr>
                <w:rFonts w:ascii="Aptos" w:hAnsi="Aptos"/>
                <w:b w:val="0"/>
                <w:color w:val="172033"/>
                <w:sz w:val="17"/>
              </w:rPr>
              <w:t>Corporate ordering, RFQ, payment, fulfilment, finance, invoices, and operational documents</w:t>
            </w:r>
          </w:p>
        </w:tc>
      </w:tr>
      <w:tr>
        <w:tc>
          <w:tcPr>
            <w:tcW w:type="dxa" w:w="5083"/>
            <w:vAlign w:val="center"/>
            <w:shd w:fill="F7F9F5"/>
          </w:tcPr>
          <w:p>
            <w:pPr>
              <w:spacing w:after="40"/>
            </w:pPr>
            <w:r/>
            <w:r>
              <w:rPr>
                <w:rFonts w:ascii="Aptos" w:hAnsi="Aptos"/>
                <w:b w:val="0"/>
                <w:color w:val="172033"/>
                <w:sz w:val="17"/>
              </w:rPr>
              <w:t>Evidence used</w:t>
            </w:r>
          </w:p>
        </w:tc>
        <w:tc>
          <w:tcPr>
            <w:tcW w:type="dxa" w:w="5083"/>
            <w:vAlign w:val="center"/>
            <w:shd w:fill="F7F9F5"/>
          </w:tcPr>
          <w:p>
            <w:pPr>
              <w:spacing w:after="40"/>
            </w:pPr>
            <w:r/>
            <w:r>
              <w:rPr>
                <w:rFonts w:ascii="Aptos" w:hAnsi="Aptos"/>
                <w:b w:val="0"/>
                <w:color w:val="172033"/>
                <w:sz w:val="17"/>
              </w:rPr>
              <w:t>Current React/Next.js routes and components plus rendered PDF previews stored in the repository</w:t>
            </w:r>
          </w:p>
        </w:tc>
      </w:tr>
    </w:tbl>
    <w:p>
      <w:pPr>
        <w:spacing w:after="40"/>
      </w:pPr>
    </w:p>
    <w:p>
      <w:pPr>
        <w:spacing w:after="120" w:line="269" w:lineRule="auto"/>
      </w:pPr>
      <w:r>
        <w:t>Executive conclusion: Renivet already has the foundations of a complete corporate ordering system. The strongest implemented areas are the multi-step self-service order flow, the newer RFQ and quote workflow, payment handling, admin operations, and a broad corporate document chain. The main work remaining is operational hardening: make the primary corporate journey unambiguous, close edge cases around approvals and document issuance, confirm permissions and notifications end to end, and define a single source of truth for status and finance reconciliation.</w:t>
      </w:r>
    </w:p>
    <w:p>
      <w:r>
        <w:br w:type="page"/>
      </w:r>
    </w:p>
    <w:p>
      <w:pPr>
        <w:pStyle w:val="Heading1"/>
        <w:keepNext/>
      </w:pPr>
      <w:r>
        <w:t>1 Current state at a glance</w:t>
      </w:r>
    </w:p>
    <w:p>
      <w:pPr>
        <w:spacing w:after="120" w:line="269" w:lineRule="auto"/>
      </w:pPr>
      <w:r>
        <w:t>The current system contains two overlapping buyer experiences. The legacy self-service flow is a five-step configurable garment ordering journey. The newer corporate procurement surface is a dashboard-led RFQ, quote, purchase order, payment, fulfilment, and finance journey. Both are present in the repository and are linked from the corporate landing surface.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Area</w:t>
            </w:r>
          </w:p>
        </w:tc>
        <w:tc>
          <w:tcPr>
            <w:tcW w:type="dxa" w:w="3389"/>
            <w:vAlign w:val="center"/>
            <w:shd w:fill="3F6045"/>
          </w:tcPr>
          <w:p>
            <w:pPr>
              <w:spacing w:after="40"/>
            </w:pPr>
            <w:r/>
            <w:r>
              <w:rPr>
                <w:rFonts w:ascii="Aptos" w:hAnsi="Aptos"/>
                <w:b/>
                <w:color w:val="FFFFFF"/>
                <w:sz w:val="17"/>
              </w:rPr>
              <w:t>Implemented today</w:t>
            </w:r>
          </w:p>
        </w:tc>
        <w:tc>
          <w:tcPr>
            <w:tcW w:type="dxa" w:w="3389"/>
            <w:vAlign w:val="center"/>
            <w:shd w:fill="3F6045"/>
          </w:tcPr>
          <w:p>
            <w:pPr>
              <w:spacing w:after="40"/>
            </w:pPr>
            <w:r/>
            <w:r>
              <w:rPr>
                <w:rFonts w:ascii="Aptos" w:hAnsi="Aptos"/>
                <w:b/>
                <w:color w:val="FFFFFF"/>
                <w:sz w:val="17"/>
              </w:rPr>
              <w:t>Current-state assessment</w:t>
            </w:r>
          </w:p>
        </w:tc>
      </w:tr>
      <w:tr>
        <w:tc>
          <w:tcPr>
            <w:tcW w:type="dxa" w:w="3389"/>
            <w:vAlign w:val="center"/>
          </w:tcPr>
          <w:p>
            <w:pPr>
              <w:spacing w:after="40"/>
            </w:pPr>
            <w:r/>
            <w:r>
              <w:rPr>
                <w:rFonts w:ascii="Aptos" w:hAnsi="Aptos"/>
                <w:b w:val="0"/>
                <w:color w:val="172033"/>
                <w:sz w:val="17"/>
              </w:rPr>
              <w:t>Buyer entry</w:t>
            </w:r>
          </w:p>
        </w:tc>
        <w:tc>
          <w:tcPr>
            <w:tcW w:type="dxa" w:w="3389"/>
            <w:vAlign w:val="center"/>
          </w:tcPr>
          <w:p>
            <w:pPr>
              <w:spacing w:after="40"/>
            </w:pPr>
            <w:r/>
            <w:r>
              <w:rPr>
                <w:rFonts w:ascii="Aptos" w:hAnsi="Aptos"/>
                <w:b w:val="0"/>
                <w:color w:val="172033"/>
                <w:sz w:val="17"/>
              </w:rPr>
              <w:t>Corporate procurement landing page, corporate orders page, profile corporate dashboard, legacy self-service route</w:t>
            </w:r>
          </w:p>
        </w:tc>
        <w:tc>
          <w:tcPr>
            <w:tcW w:type="dxa" w:w="3389"/>
            <w:vAlign w:val="center"/>
          </w:tcPr>
          <w:p>
            <w:pPr>
              <w:spacing w:after="40"/>
            </w:pPr>
            <w:r/>
            <w:r>
              <w:rPr>
                <w:rFonts w:ascii="Aptos" w:hAnsi="Aptos"/>
                <w:b w:val="0"/>
                <w:color w:val="172033"/>
                <w:sz w:val="17"/>
              </w:rPr>
              <w:t>Implemented, but two journeys can confuse users unless one is clearly designated as primary.</w:t>
            </w:r>
          </w:p>
        </w:tc>
      </w:tr>
      <w:tr>
        <w:tc>
          <w:tcPr>
            <w:tcW w:type="dxa" w:w="3389"/>
            <w:vAlign w:val="center"/>
            <w:shd w:fill="F7F9F5"/>
          </w:tcPr>
          <w:p>
            <w:pPr>
              <w:spacing w:after="40"/>
            </w:pPr>
            <w:r/>
            <w:r>
              <w:rPr>
                <w:rFonts w:ascii="Aptos" w:hAnsi="Aptos"/>
                <w:b w:val="0"/>
                <w:color w:val="172033"/>
                <w:sz w:val="17"/>
              </w:rPr>
              <w:t>Order capture</w:t>
            </w:r>
          </w:p>
        </w:tc>
        <w:tc>
          <w:tcPr>
            <w:tcW w:type="dxa" w:w="3389"/>
            <w:vAlign w:val="center"/>
            <w:shd w:fill="F7F9F5"/>
          </w:tcPr>
          <w:p>
            <w:pPr>
              <w:spacing w:after="40"/>
            </w:pPr>
            <w:r/>
            <w:r>
              <w:rPr>
                <w:rFonts w:ascii="Aptos" w:hAnsi="Aptos"/>
                <w:b w:val="0"/>
                <w:color w:val="172033"/>
                <w:sz w:val="17"/>
              </w:rPr>
              <w:t>Company/contact, delivery, quantity, product configuration, colours, branding, employee size sheet, artwork, notes</w:t>
            </w:r>
          </w:p>
        </w:tc>
        <w:tc>
          <w:tcPr>
            <w:tcW w:type="dxa" w:w="3389"/>
            <w:vAlign w:val="center"/>
            <w:shd w:fill="F7F9F5"/>
          </w:tcPr>
          <w:p>
            <w:pPr>
              <w:spacing w:after="40"/>
            </w:pPr>
            <w:r/>
            <w:r>
              <w:rPr>
                <w:rFonts w:ascii="Aptos" w:hAnsi="Aptos"/>
                <w:b w:val="0"/>
                <w:color w:val="172033"/>
                <w:sz w:val="17"/>
              </w:rPr>
              <w:t>Strong for configured apparel orders.</w:t>
            </w:r>
          </w:p>
        </w:tc>
      </w:tr>
      <w:tr>
        <w:tc>
          <w:tcPr>
            <w:tcW w:type="dxa" w:w="3389"/>
            <w:vAlign w:val="center"/>
          </w:tcPr>
          <w:p>
            <w:pPr>
              <w:spacing w:after="40"/>
            </w:pPr>
            <w:r/>
            <w:r>
              <w:rPr>
                <w:rFonts w:ascii="Aptos" w:hAnsi="Aptos"/>
                <w:b w:val="0"/>
                <w:color w:val="172033"/>
                <w:sz w:val="17"/>
              </w:rPr>
              <w:t>RFQ and quote</w:t>
            </w:r>
          </w:p>
        </w:tc>
        <w:tc>
          <w:tcPr>
            <w:tcW w:type="dxa" w:w="3389"/>
            <w:vAlign w:val="center"/>
          </w:tcPr>
          <w:p>
            <w:pPr>
              <w:spacing w:after="40"/>
            </w:pPr>
            <w:r/>
            <w:r>
              <w:rPr>
                <w:rFonts w:ascii="Aptos" w:hAnsi="Aptos"/>
                <w:b w:val="0"/>
                <w:color w:val="172033"/>
                <w:sz w:val="17"/>
              </w:rPr>
              <w:t>RFQ form with attachments, admin quote preparation, revisions, buyer approval or revision request</w:t>
            </w:r>
          </w:p>
        </w:tc>
        <w:tc>
          <w:tcPr>
            <w:tcW w:type="dxa" w:w="3389"/>
            <w:vAlign w:val="center"/>
          </w:tcPr>
          <w:p>
            <w:pPr>
              <w:spacing w:after="40"/>
            </w:pPr>
            <w:r/>
            <w:r>
              <w:rPr>
                <w:rFonts w:ascii="Aptos" w:hAnsi="Aptos"/>
                <w:b w:val="0"/>
                <w:color w:val="172033"/>
                <w:sz w:val="17"/>
              </w:rPr>
              <w:t>Implemented in the newer platform flow.</w:t>
            </w:r>
          </w:p>
        </w:tc>
      </w:tr>
      <w:tr>
        <w:tc>
          <w:tcPr>
            <w:tcW w:type="dxa" w:w="3389"/>
            <w:vAlign w:val="center"/>
            <w:shd w:fill="F7F9F5"/>
          </w:tcPr>
          <w:p>
            <w:pPr>
              <w:spacing w:after="40"/>
            </w:pPr>
            <w:r/>
            <w:r>
              <w:rPr>
                <w:rFonts w:ascii="Aptos" w:hAnsi="Aptos"/>
                <w:b w:val="0"/>
                <w:color w:val="172033"/>
                <w:sz w:val="17"/>
              </w:rPr>
              <w:t>Purchase order</w:t>
            </w:r>
          </w:p>
        </w:tc>
        <w:tc>
          <w:tcPr>
            <w:tcW w:type="dxa" w:w="3389"/>
            <w:vAlign w:val="center"/>
            <w:shd w:fill="F7F9F5"/>
          </w:tcPr>
          <w:p>
            <w:pPr>
              <w:spacing w:after="40"/>
            </w:pPr>
            <w:r/>
            <w:r>
              <w:rPr>
                <w:rFonts w:ascii="Aptos" w:hAnsi="Aptos"/>
                <w:b w:val="0"/>
                <w:color w:val="172033"/>
                <w:sz w:val="17"/>
              </w:rPr>
              <w:t>Buyer PO upload and admin/direct PO creation paths</w:t>
            </w:r>
          </w:p>
        </w:tc>
        <w:tc>
          <w:tcPr>
            <w:tcW w:type="dxa" w:w="3389"/>
            <w:vAlign w:val="center"/>
            <w:shd w:fill="F7F9F5"/>
          </w:tcPr>
          <w:p>
            <w:pPr>
              <w:spacing w:after="40"/>
            </w:pPr>
            <w:r/>
            <w:r>
              <w:rPr>
                <w:rFonts w:ascii="Aptos" w:hAnsi="Aptos"/>
                <w:b w:val="0"/>
                <w:color w:val="172033"/>
                <w:sz w:val="17"/>
              </w:rPr>
              <w:t>Implemented; needs clear approval and exception rules.</w:t>
            </w:r>
          </w:p>
        </w:tc>
      </w:tr>
      <w:tr>
        <w:tc>
          <w:tcPr>
            <w:tcW w:type="dxa" w:w="3389"/>
            <w:vAlign w:val="center"/>
          </w:tcPr>
          <w:p>
            <w:pPr>
              <w:spacing w:after="40"/>
            </w:pPr>
            <w:r/>
            <w:r>
              <w:rPr>
                <w:rFonts w:ascii="Aptos" w:hAnsi="Aptos"/>
                <w:b w:val="0"/>
                <w:color w:val="172033"/>
                <w:sz w:val="17"/>
              </w:rPr>
              <w:t>Payments</w:t>
            </w:r>
          </w:p>
        </w:tc>
        <w:tc>
          <w:tcPr>
            <w:tcW w:type="dxa" w:w="3389"/>
            <w:vAlign w:val="center"/>
          </w:tcPr>
          <w:p>
            <w:pPr>
              <w:spacing w:after="40"/>
            </w:pPr>
            <w:r/>
            <w:r>
              <w:rPr>
                <w:rFonts w:ascii="Aptos" w:hAnsi="Aptos"/>
                <w:b w:val="0"/>
                <w:color w:val="172033"/>
                <w:sz w:val="17"/>
              </w:rPr>
              <w:t>Razorpay advance, balance, requested payment, full upfront, payment confirmations, receipt vouchers</w:t>
            </w:r>
          </w:p>
        </w:tc>
        <w:tc>
          <w:tcPr>
            <w:tcW w:type="dxa" w:w="3389"/>
            <w:vAlign w:val="center"/>
          </w:tcPr>
          <w:p>
            <w:pPr>
              <w:spacing w:after="40"/>
            </w:pPr>
            <w:r/>
            <w:r>
              <w:rPr>
                <w:rFonts w:ascii="Aptos" w:hAnsi="Aptos"/>
                <w:b w:val="0"/>
                <w:color w:val="172033"/>
                <w:sz w:val="17"/>
              </w:rPr>
              <w:t>Implemented; reconciliation and failure handling need explicit operating procedures.</w:t>
            </w:r>
          </w:p>
        </w:tc>
      </w:tr>
      <w:tr>
        <w:tc>
          <w:tcPr>
            <w:tcW w:type="dxa" w:w="3389"/>
            <w:vAlign w:val="center"/>
            <w:shd w:fill="F7F9F5"/>
          </w:tcPr>
          <w:p>
            <w:pPr>
              <w:spacing w:after="40"/>
            </w:pPr>
            <w:r/>
            <w:r>
              <w:rPr>
                <w:rFonts w:ascii="Aptos" w:hAnsi="Aptos"/>
                <w:b w:val="0"/>
                <w:color w:val="172033"/>
                <w:sz w:val="17"/>
              </w:rPr>
              <w:t>Production and fulfilment</w:t>
            </w:r>
          </w:p>
        </w:tc>
        <w:tc>
          <w:tcPr>
            <w:tcW w:type="dxa" w:w="3389"/>
            <w:vAlign w:val="center"/>
            <w:shd w:fill="F7F9F5"/>
          </w:tcPr>
          <w:p>
            <w:pPr>
              <w:spacing w:after="40"/>
            </w:pPr>
            <w:r/>
            <w:r>
              <w:rPr>
                <w:rFonts w:ascii="Aptos" w:hAnsi="Aptos"/>
                <w:b w:val="0"/>
                <w:color w:val="172033"/>
                <w:sz w:val="17"/>
              </w:rPr>
              <w:t>QC gate, status updates, shipment workspace, dispatch and delivered states, replacement requests</w:t>
            </w:r>
          </w:p>
        </w:tc>
        <w:tc>
          <w:tcPr>
            <w:tcW w:type="dxa" w:w="3389"/>
            <w:vAlign w:val="center"/>
            <w:shd w:fill="F7F9F5"/>
          </w:tcPr>
          <w:p>
            <w:pPr>
              <w:spacing w:after="40"/>
            </w:pPr>
            <w:r/>
            <w:r>
              <w:rPr>
                <w:rFonts w:ascii="Aptos" w:hAnsi="Aptos"/>
                <w:b w:val="0"/>
                <w:color w:val="172033"/>
                <w:sz w:val="17"/>
              </w:rPr>
              <w:t>Implemented across admin/brand workspaces.</w:t>
            </w:r>
          </w:p>
        </w:tc>
      </w:tr>
      <w:tr>
        <w:tc>
          <w:tcPr>
            <w:tcW w:type="dxa" w:w="3389"/>
            <w:vAlign w:val="center"/>
          </w:tcPr>
          <w:p>
            <w:pPr>
              <w:spacing w:after="40"/>
            </w:pPr>
            <w:r/>
            <w:r>
              <w:rPr>
                <w:rFonts w:ascii="Aptos" w:hAnsi="Aptos"/>
                <w:b w:val="0"/>
                <w:color w:val="172033"/>
                <w:sz w:val="17"/>
              </w:rPr>
              <w:t>Finance documents</w:t>
            </w:r>
          </w:p>
        </w:tc>
        <w:tc>
          <w:tcPr>
            <w:tcW w:type="dxa" w:w="3389"/>
            <w:vAlign w:val="center"/>
          </w:tcPr>
          <w:p>
            <w:pPr>
              <w:spacing w:after="40"/>
            </w:pPr>
            <w:r/>
            <w:r>
              <w:rPr>
                <w:rFonts w:ascii="Aptos" w:hAnsi="Aptos"/>
                <w:b w:val="0"/>
                <w:color w:val="172033"/>
                <w:sz w:val="17"/>
              </w:rPr>
              <w:t>Proforma, customer tax invoice, vendor PO, brand tax invoice, delivery challan, receipt voucher, settlement statement, order summary</w:t>
            </w:r>
          </w:p>
        </w:tc>
        <w:tc>
          <w:tcPr>
            <w:tcW w:type="dxa" w:w="3389"/>
            <w:vAlign w:val="center"/>
          </w:tcPr>
          <w:p>
            <w:pPr>
              <w:spacing w:after="40"/>
            </w:pPr>
            <w:r/>
            <w:r>
              <w:rPr>
                <w:rFonts w:ascii="Aptos" w:hAnsi="Aptos"/>
                <w:b w:val="0"/>
                <w:color w:val="172033"/>
                <w:sz w:val="17"/>
              </w:rPr>
              <w:t>Broad document coverage; sequence and ownership must be enforced consistently.</w:t>
            </w:r>
          </w:p>
        </w:tc>
      </w:tr>
    </w:tbl>
    <w:p>
      <w:pPr>
        <w:spacing w:after="40"/>
      </w:pPr>
    </w:p>
    <w:p>
      <w:pPr>
        <w:pStyle w:val="Heading1"/>
        <w:keepNext/>
      </w:pPr>
      <w:r>
        <w:t>2 Current corporate UI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Screen or route</w:t>
            </w:r>
          </w:p>
        </w:tc>
        <w:tc>
          <w:tcPr>
            <w:tcW w:type="dxa" w:w="3389"/>
            <w:vAlign w:val="center"/>
            <w:shd w:fill="3F6045"/>
          </w:tcPr>
          <w:p>
            <w:pPr>
              <w:spacing w:after="40"/>
            </w:pPr>
            <w:r/>
            <w:r>
              <w:rPr>
                <w:rFonts w:ascii="Aptos" w:hAnsi="Aptos"/>
                <w:b/>
                <w:color w:val="FFFFFF"/>
                <w:sz w:val="17"/>
              </w:rPr>
              <w:t>What it provides</w:t>
            </w:r>
          </w:p>
        </w:tc>
        <w:tc>
          <w:tcPr>
            <w:tcW w:type="dxa" w:w="3389"/>
            <w:vAlign w:val="center"/>
            <w:shd w:fill="3F6045"/>
          </w:tcPr>
          <w:p>
            <w:pPr>
              <w:spacing w:after="40"/>
            </w:pPr>
            <w:r/>
            <w:r>
              <w:rPr>
                <w:rFonts w:ascii="Aptos" w:hAnsi="Aptos"/>
                <w:b/>
                <w:color w:val="FFFFFF"/>
                <w:sz w:val="17"/>
              </w:rPr>
              <w:t>Primary users</w:t>
            </w:r>
          </w:p>
        </w:tc>
      </w:tr>
      <w:tr>
        <w:tc>
          <w:tcPr>
            <w:tcW w:type="dxa" w:w="3389"/>
            <w:vAlign w:val="center"/>
          </w:tcPr>
          <w:p>
            <w:pPr>
              <w:spacing w:after="40"/>
            </w:pPr>
            <w:r/>
            <w:r>
              <w:rPr>
                <w:rFonts w:ascii="Aptos" w:hAnsi="Aptos"/>
                <w:b w:val="0"/>
                <w:color w:val="172033"/>
                <w:sz w:val="17"/>
              </w:rPr>
              <w:t>/corporate</w:t>
            </w:r>
          </w:p>
        </w:tc>
        <w:tc>
          <w:tcPr>
            <w:tcW w:type="dxa" w:w="3389"/>
            <w:vAlign w:val="center"/>
          </w:tcPr>
          <w:p>
            <w:pPr>
              <w:spacing w:after="40"/>
            </w:pPr>
            <w:r/>
            <w:r>
              <w:rPr>
                <w:rFonts w:ascii="Aptos" w:hAnsi="Aptos"/>
                <w:b w:val="0"/>
                <w:color w:val="172033"/>
                <w:sz w:val="17"/>
              </w:rPr>
              <w:t>Corporate catalog, RFQ entry, corporate dashboard link, legacy self-service link</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/corporate-orders</w:t>
            </w:r>
          </w:p>
        </w:tc>
        <w:tc>
          <w:tcPr>
            <w:tcW w:type="dxa" w:w="3389"/>
            <w:vAlign w:val="center"/>
            <w:shd w:fill="F7F9F5"/>
          </w:tcPr>
          <w:p>
            <w:pPr>
              <w:spacing w:after="40"/>
            </w:pPr>
            <w:r/>
            <w:r>
              <w:rPr>
                <w:rFonts w:ascii="Aptos" w:hAnsi="Aptos"/>
                <w:b w:val="0"/>
                <w:color w:val="172033"/>
                <w:sz w:val="17"/>
              </w:rPr>
              <w:t>Legacy five-step order flow: Company, Product, Branding, Employee Sizes, Summary</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w:t>
            </w:r>
          </w:p>
        </w:tc>
        <w:tc>
          <w:tcPr>
            <w:tcW w:type="dxa" w:w="3389"/>
            <w:vAlign w:val="center"/>
          </w:tcPr>
          <w:p>
            <w:pPr>
              <w:spacing w:after="40"/>
            </w:pPr>
            <w:r/>
            <w:r>
              <w:rPr>
                <w:rFonts w:ascii="Aptos" w:hAnsi="Aptos"/>
                <w:b w:val="0"/>
                <w:color w:val="172033"/>
                <w:sz w:val="17"/>
              </w:rPr>
              <w:t>Dashboard metrics for requests, quotes, orders, approved quotes, payments, deliveries; quote review and order setup</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/profile/corporate/request-quote</w:t>
            </w:r>
          </w:p>
        </w:tc>
        <w:tc>
          <w:tcPr>
            <w:tcW w:type="dxa" w:w="3389"/>
            <w:vAlign w:val="center"/>
            <w:shd w:fill="F7F9F5"/>
          </w:tcPr>
          <w:p>
            <w:pPr>
              <w:spacing w:after="40"/>
            </w:pPr>
            <w:r/>
            <w:r>
              <w:rPr>
                <w:rFonts w:ascii="Aptos" w:hAnsi="Aptos"/>
                <w:b w:val="0"/>
                <w:color w:val="172033"/>
                <w:sz w:val="17"/>
              </w:rPr>
              <w:t>Company/contact, requirements, quantity, budget, date, procurement mode, preferences, description, attachments</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/profile/corporate/self-service</w:t>
            </w:r>
          </w:p>
        </w:tc>
        <w:tc>
          <w:tcPr>
            <w:tcW w:type="dxa" w:w="3389"/>
            <w:vAlign w:val="center"/>
          </w:tcPr>
          <w:p>
            <w:pPr>
              <w:spacing w:after="40"/>
            </w:pPr>
            <w:r/>
            <w:r>
              <w:rPr>
                <w:rFonts w:ascii="Aptos" w:hAnsi="Aptos"/>
                <w:b w:val="0"/>
                <w:color w:val="172033"/>
                <w:sz w:val="17"/>
              </w:rPr>
              <w:t>Self-service flow entry from the corporate dashboard</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/dashboard/general/corporate</w:t>
            </w:r>
          </w:p>
        </w:tc>
        <w:tc>
          <w:tcPr>
            <w:tcW w:type="dxa" w:w="3389"/>
            <w:vAlign w:val="center"/>
            <w:shd w:fill="F7F9F5"/>
          </w:tcPr>
          <w:p>
            <w:pPr>
              <w:spacing w:after="40"/>
            </w:pPr>
            <w:r/>
            <w:r>
              <w:rPr>
                <w:rFonts w:ascii="Aptos" w:hAnsi="Aptos"/>
                <w:b w:val="0"/>
                <w:color w:val="172033"/>
                <w:sz w:val="17"/>
              </w:rPr>
              <w:t>Corporate command center for RFQs, tasks, reports, finance, and executive views</w:t>
            </w:r>
          </w:p>
        </w:tc>
        <w:tc>
          <w:tcPr>
            <w:tcW w:type="dxa" w:w="3389"/>
            <w:vAlign w:val="center"/>
            <w:shd w:fill="F7F9F5"/>
          </w:tcPr>
          <w:p>
            <w:pPr>
              <w:spacing w:after="40"/>
            </w:pPr>
            <w:r/>
            <w:r>
              <w:rPr>
                <w:rFonts w:ascii="Aptos" w:hAnsi="Aptos"/>
                <w:b w:val="0"/>
                <w:color w:val="172033"/>
                <w:sz w:val="17"/>
              </w:rPr>
              <w:t>Renivet admin</w:t>
            </w:r>
          </w:p>
        </w:tc>
      </w:tr>
      <w:tr>
        <w:tc>
          <w:tcPr>
            <w:tcW w:type="dxa" w:w="3389"/>
            <w:vAlign w:val="center"/>
          </w:tcPr>
          <w:p>
            <w:pPr>
              <w:spacing w:after="40"/>
            </w:pPr>
            <w:r/>
            <w:r>
              <w:rPr>
                <w:rFonts w:ascii="Aptos" w:hAnsi="Aptos"/>
                <w:b w:val="0"/>
                <w:color w:val="172033"/>
                <w:sz w:val="17"/>
              </w:rPr>
              <w:t>/dashboard/general/corporate-orders</w:t>
            </w:r>
          </w:p>
        </w:tc>
        <w:tc>
          <w:tcPr>
            <w:tcW w:type="dxa" w:w="3389"/>
            <w:vAlign w:val="center"/>
          </w:tcPr>
          <w:p>
            <w:pPr>
              <w:spacing w:after="40"/>
            </w:pPr>
            <w:r/>
            <w:r>
              <w:rPr>
                <w:rFonts w:ascii="Aptos" w:hAnsi="Aptos"/>
                <w:b w:val="0"/>
                <w:color w:val="172033"/>
                <w:sz w:val="17"/>
              </w:rPr>
              <w:t>Corporate orders table, order detail, document chain, payment ledger, QC, shipment workspace</w:t>
            </w:r>
          </w:p>
        </w:tc>
        <w:tc>
          <w:tcPr>
            <w:tcW w:type="dxa" w:w="3389"/>
            <w:vAlign w:val="center"/>
          </w:tcPr>
          <w:p>
            <w:pPr>
              <w:spacing w:after="40"/>
            </w:pPr>
            <w:r/>
            <w:r>
              <w:rPr>
                <w:rFonts w:ascii="Aptos" w:hAnsi="Aptos"/>
                <w:b w:val="0"/>
                <w:color w:val="172033"/>
                <w:sz w:val="17"/>
              </w:rPr>
              <w:t>Renivet operations/admin</w:t>
            </w:r>
          </w:p>
        </w:tc>
      </w:tr>
      <w:tr>
        <w:tc>
          <w:tcPr>
            <w:tcW w:type="dxa" w:w="3389"/>
            <w:vAlign w:val="center"/>
            <w:shd w:fill="F7F9F5"/>
          </w:tcPr>
          <w:p>
            <w:pPr>
              <w:spacing w:after="40"/>
            </w:pPr>
            <w:r/>
            <w:r>
              <w:rPr>
                <w:rFonts w:ascii="Aptos" w:hAnsi="Aptos"/>
                <w:b w:val="0"/>
                <w:color w:val="172033"/>
                <w:sz w:val="17"/>
              </w:rPr>
              <w:t>/dashboard/brands/{brandId}/corporate-orders</w:t>
            </w:r>
          </w:p>
        </w:tc>
        <w:tc>
          <w:tcPr>
            <w:tcW w:type="dxa" w:w="3389"/>
            <w:vAlign w:val="center"/>
            <w:shd w:fill="F7F9F5"/>
          </w:tcPr>
          <w:p>
            <w:pPr>
              <w:spacing w:after="40"/>
            </w:pPr>
            <w:r/>
            <w:r>
              <w:rPr>
                <w:rFonts w:ascii="Aptos" w:hAnsi="Aptos"/>
                <w:b w:val="0"/>
                <w:color w:val="172033"/>
                <w:sz w:val="17"/>
              </w:rPr>
              <w:t>Brand-side corporate orders workspace</w:t>
            </w:r>
          </w:p>
        </w:tc>
        <w:tc>
          <w:tcPr>
            <w:tcW w:type="dxa" w:w="3389"/>
            <w:vAlign w:val="center"/>
            <w:shd w:fill="F7F9F5"/>
          </w:tcPr>
          <w:p>
            <w:pPr>
              <w:spacing w:after="40"/>
            </w:pPr>
            <w:r/>
            <w:r>
              <w:rPr>
                <w:rFonts w:ascii="Aptos" w:hAnsi="Aptos"/>
                <w:b w:val="0"/>
                <w:color w:val="172033"/>
                <w:sz w:val="17"/>
              </w:rPr>
              <w:t>Supplier brand</w:t>
            </w:r>
          </w:p>
        </w:tc>
      </w:tr>
    </w:tbl>
    <w:p>
      <w:pPr>
        <w:spacing w:after="40"/>
      </w:pPr>
    </w:p>
    <w:p>
      <w:pPr>
        <w:spacing w:after="120" w:line="269" w:lineRule="auto"/>
      </w:pPr>
      <w:r>
        <w:t>Code evidence: the route and component inventory above is based on the current source tree under src/app, src/components/corporate-platform, src/components/corporate-orders, src/components/dashboard/general/corporate-orders, and src/components/profile/general.</w:t>
      </w:r>
    </w:p>
    <w:p>
      <w:r>
        <w:br w:type="page"/>
      </w:r>
    </w:p>
    <w:p>
      <w:pPr>
        <w:pStyle w:val="Heading1"/>
        <w:keepNext/>
      </w:pPr>
      <w:r>
        <w:t>3 End to end corporate order flow</w:t>
      </w:r>
    </w:p>
    <w:p>
      <w:pPr>
        <w:spacing w:after="120" w:line="269" w:lineRule="auto"/>
      </w:pPr>
      <w:r>
        <w:t>The intended end-to-end flow can be represented as follows. The current implementation supports the major states, but the handoffs should be treated as controlled transitions with role ownership, mandatory data, and document prerequisites.</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Step</w:t>
            </w:r>
          </w:p>
        </w:tc>
        <w:tc>
          <w:tcPr>
            <w:tcW w:type="dxa" w:w="2541"/>
            <w:vAlign w:val="center"/>
            <w:shd w:fill="3F6045"/>
          </w:tcPr>
          <w:p>
            <w:pPr>
              <w:spacing w:after="40"/>
            </w:pPr>
            <w:r/>
            <w:r>
              <w:rPr>
                <w:rFonts w:ascii="Aptos" w:hAnsi="Aptos"/>
                <w:b/>
                <w:color w:val="FFFFFF"/>
                <w:sz w:val="17"/>
              </w:rPr>
              <w:t>Buyer and system action</w:t>
            </w:r>
          </w:p>
        </w:tc>
        <w:tc>
          <w:tcPr>
            <w:tcW w:type="dxa" w:w="2541"/>
            <w:vAlign w:val="center"/>
            <w:shd w:fill="3F6045"/>
          </w:tcPr>
          <w:p>
            <w:pPr>
              <w:spacing w:after="40"/>
            </w:pPr>
            <w:r/>
            <w:r>
              <w:rPr>
                <w:rFonts w:ascii="Aptos" w:hAnsi="Aptos"/>
                <w:b/>
                <w:color w:val="FFFFFF"/>
                <w:sz w:val="17"/>
              </w:rPr>
              <w:t>Current implementation</w:t>
            </w:r>
          </w:p>
        </w:tc>
        <w:tc>
          <w:tcPr>
            <w:tcW w:type="dxa" w:w="2541"/>
            <w:vAlign w:val="center"/>
            <w:shd w:fill="3F6045"/>
          </w:tcPr>
          <w:p>
            <w:pPr>
              <w:spacing w:after="40"/>
            </w:pPr>
            <w:r/>
            <w:r>
              <w:rPr>
                <w:rFonts w:ascii="Aptos" w:hAnsi="Aptos"/>
                <w:b/>
                <w:color w:val="FFFFFF"/>
                <w:sz w:val="17"/>
              </w:rPr>
              <w:t>Required control</w:t>
            </w:r>
          </w:p>
        </w:tc>
      </w:tr>
      <w:tr>
        <w:tc>
          <w:tcPr>
            <w:tcW w:type="dxa" w:w="2541"/>
            <w:vAlign w:val="center"/>
          </w:tcPr>
          <w:p>
            <w:pPr>
              <w:spacing w:after="40"/>
            </w:pPr>
            <w:r/>
            <w:r>
              <w:rPr>
                <w:rFonts w:ascii="Aptos" w:hAnsi="Aptos"/>
                <w:b w:val="0"/>
                <w:color w:val="172033"/>
                <w:sz w:val="17"/>
              </w:rPr>
              <w:t>1. Discover</w:t>
            </w:r>
          </w:p>
        </w:tc>
        <w:tc>
          <w:tcPr>
            <w:tcW w:type="dxa" w:w="2541"/>
            <w:vAlign w:val="center"/>
          </w:tcPr>
          <w:p>
            <w:pPr>
              <w:spacing w:after="40"/>
            </w:pPr>
            <w:r/>
            <w:r>
              <w:rPr>
                <w:rFonts w:ascii="Aptos" w:hAnsi="Aptos"/>
                <w:b w:val="0"/>
                <w:color w:val="172033"/>
                <w:sz w:val="17"/>
              </w:rPr>
              <w:t>Buyer opens corporate surface and chooses catalog, RFQ, or self-service.</w:t>
            </w:r>
          </w:p>
        </w:tc>
        <w:tc>
          <w:tcPr>
            <w:tcW w:type="dxa" w:w="2541"/>
            <w:vAlign w:val="center"/>
          </w:tcPr>
          <w:p>
            <w:pPr>
              <w:spacing w:after="40"/>
            </w:pPr>
            <w:r/>
            <w:r>
              <w:rPr>
                <w:rFonts w:ascii="Aptos" w:hAnsi="Aptos"/>
                <w:b w:val="0"/>
                <w:color w:val="172033"/>
                <w:sz w:val="17"/>
              </w:rPr>
              <w:t>Corporate landing page links all three paths.</w:t>
            </w:r>
          </w:p>
        </w:tc>
        <w:tc>
          <w:tcPr>
            <w:tcW w:type="dxa" w:w="2541"/>
            <w:vAlign w:val="center"/>
          </w:tcPr>
          <w:p>
            <w:pPr>
              <w:spacing w:after="40"/>
            </w:pPr>
            <w:r/>
            <w:r>
              <w:rPr>
                <w:rFonts w:ascii="Aptos" w:hAnsi="Aptos"/>
                <w:b w:val="0"/>
                <w:color w:val="172033"/>
                <w:sz w:val="17"/>
              </w:rPr>
              <w:t>Declare one recommended path for new buyers and explain when self-service is appropriate.</w:t>
            </w:r>
          </w:p>
        </w:tc>
      </w:tr>
      <w:tr>
        <w:tc>
          <w:tcPr>
            <w:tcW w:type="dxa" w:w="2541"/>
            <w:vAlign w:val="center"/>
            <w:shd w:fill="F7F9F5"/>
          </w:tcPr>
          <w:p>
            <w:pPr>
              <w:spacing w:after="40"/>
            </w:pPr>
            <w:r/>
            <w:r>
              <w:rPr>
                <w:rFonts w:ascii="Aptos" w:hAnsi="Aptos"/>
                <w:b w:val="0"/>
                <w:color w:val="172033"/>
                <w:sz w:val="17"/>
              </w:rPr>
              <w:t>2. Submit requirement</w:t>
            </w:r>
          </w:p>
        </w:tc>
        <w:tc>
          <w:tcPr>
            <w:tcW w:type="dxa" w:w="2541"/>
            <w:vAlign w:val="center"/>
            <w:shd w:fill="F7F9F5"/>
          </w:tcPr>
          <w:p>
            <w:pPr>
              <w:spacing w:after="40"/>
            </w:pPr>
            <w:r/>
            <w:r>
              <w:rPr>
                <w:rFonts w:ascii="Aptos" w:hAnsi="Aptos"/>
                <w:b w:val="0"/>
                <w:color w:val="172033"/>
                <w:sz w:val="17"/>
              </w:rPr>
              <w:t>Buyer enters company/contact, quantity, delivery date, use case, budget, preferences, description, and files.</w:t>
            </w:r>
          </w:p>
        </w:tc>
        <w:tc>
          <w:tcPr>
            <w:tcW w:type="dxa" w:w="2541"/>
            <w:vAlign w:val="center"/>
            <w:shd w:fill="F7F9F5"/>
          </w:tcPr>
          <w:p>
            <w:pPr>
              <w:spacing w:after="40"/>
            </w:pPr>
            <w:r/>
            <w:r>
              <w:rPr>
                <w:rFonts w:ascii="Aptos" w:hAnsi="Aptos"/>
                <w:b w:val="0"/>
                <w:color w:val="172033"/>
                <w:sz w:val="17"/>
              </w:rPr>
              <w:t>RFQ form captures these fields and accepts PDF, PPT, XLSX, images, and ZIP attachments within 50 MB.</w:t>
            </w:r>
          </w:p>
        </w:tc>
        <w:tc>
          <w:tcPr>
            <w:tcW w:type="dxa" w:w="2541"/>
            <w:vAlign w:val="center"/>
            <w:shd w:fill="F7F9F5"/>
          </w:tcPr>
          <w:p>
            <w:pPr>
              <w:spacing w:after="40"/>
            </w:pPr>
            <w:r/>
            <w:r>
              <w:rPr>
                <w:rFonts w:ascii="Aptos" w:hAnsi="Aptos"/>
                <w:b w:val="0"/>
                <w:color w:val="172033"/>
                <w:sz w:val="17"/>
              </w:rPr>
              <w:t>Validate required fields, attachment safety, PII handling, and delivery-date feasibility.</w:t>
            </w:r>
          </w:p>
        </w:tc>
      </w:tr>
      <w:tr>
        <w:tc>
          <w:tcPr>
            <w:tcW w:type="dxa" w:w="2541"/>
            <w:vAlign w:val="center"/>
          </w:tcPr>
          <w:p>
            <w:pPr>
              <w:spacing w:after="40"/>
            </w:pPr>
            <w:r/>
            <w:r>
              <w:rPr>
                <w:rFonts w:ascii="Aptos" w:hAnsi="Aptos"/>
                <w:b w:val="0"/>
                <w:color w:val="172033"/>
                <w:sz w:val="17"/>
              </w:rPr>
              <w:t>3. Prepare quote</w:t>
            </w:r>
          </w:p>
        </w:tc>
        <w:tc>
          <w:tcPr>
            <w:tcW w:type="dxa" w:w="2541"/>
            <w:vAlign w:val="center"/>
          </w:tcPr>
          <w:p>
            <w:pPr>
              <w:spacing w:after="40"/>
            </w:pPr>
            <w:r/>
            <w:r>
              <w:rPr>
                <w:rFonts w:ascii="Aptos" w:hAnsi="Aptos"/>
                <w:b w:val="0"/>
                <w:color w:val="172033"/>
                <w:sz w:val="17"/>
              </w:rPr>
              <w:t>Admin reviews RFQ, selects supplier/product inputs, sets cost/tax/advance, and creates a quote.</w:t>
            </w:r>
          </w:p>
        </w:tc>
        <w:tc>
          <w:tcPr>
            <w:tcW w:type="dxa" w:w="2541"/>
            <w:vAlign w:val="center"/>
          </w:tcPr>
          <w:p>
            <w:pPr>
              <w:spacing w:after="40"/>
            </w:pPr>
            <w:r/>
            <w:r>
              <w:rPr>
                <w:rFonts w:ascii="Aptos" w:hAnsi="Aptos"/>
                <w:b w:val="0"/>
                <w:color w:val="172033"/>
                <w:sz w:val="17"/>
              </w:rPr>
              <w:t>Admin RFQ queue supports manual quote preparation and revisions.</w:t>
            </w:r>
          </w:p>
        </w:tc>
        <w:tc>
          <w:tcPr>
            <w:tcW w:type="dxa" w:w="2541"/>
            <w:vAlign w:val="center"/>
          </w:tcPr>
          <w:p>
            <w:pPr>
              <w:spacing w:after="40"/>
            </w:pPr>
            <w:r/>
            <w:r>
              <w:rPr>
                <w:rFonts w:ascii="Aptos" w:hAnsi="Aptos"/>
                <w:b w:val="0"/>
                <w:color w:val="172033"/>
                <w:sz w:val="17"/>
              </w:rPr>
              <w:t>Keep quote calculation auditable and lock commercial terms after buyer approval.</w:t>
            </w:r>
          </w:p>
        </w:tc>
      </w:tr>
      <w:tr>
        <w:tc>
          <w:tcPr>
            <w:tcW w:type="dxa" w:w="2541"/>
            <w:vAlign w:val="center"/>
            <w:shd w:fill="F7F9F5"/>
          </w:tcPr>
          <w:p>
            <w:pPr>
              <w:spacing w:after="40"/>
            </w:pPr>
            <w:r/>
            <w:r>
              <w:rPr>
                <w:rFonts w:ascii="Aptos" w:hAnsi="Aptos"/>
                <w:b w:val="0"/>
                <w:color w:val="172033"/>
                <w:sz w:val="17"/>
              </w:rPr>
              <w:t>4. Buyer decision</w:t>
            </w:r>
          </w:p>
        </w:tc>
        <w:tc>
          <w:tcPr>
            <w:tcW w:type="dxa" w:w="2541"/>
            <w:vAlign w:val="center"/>
            <w:shd w:fill="F7F9F5"/>
          </w:tcPr>
          <w:p>
            <w:pPr>
              <w:spacing w:after="40"/>
            </w:pPr>
            <w:r/>
            <w:r>
              <w:rPr>
                <w:rFonts w:ascii="Aptos" w:hAnsi="Aptos"/>
                <w:b w:val="0"/>
                <w:color w:val="172033"/>
                <w:sz w:val="17"/>
              </w:rPr>
              <w:t>Buyer approves quote, requests revision, or proceeds through PO/payment route.</w:t>
            </w:r>
          </w:p>
        </w:tc>
        <w:tc>
          <w:tcPr>
            <w:tcW w:type="dxa" w:w="2541"/>
            <w:vAlign w:val="center"/>
            <w:shd w:fill="F7F9F5"/>
          </w:tcPr>
          <w:p>
            <w:pPr>
              <w:spacing w:after="40"/>
            </w:pPr>
            <w:r/>
            <w:r>
              <w:rPr>
                <w:rFonts w:ascii="Aptos" w:hAnsi="Aptos"/>
                <w:b w:val="0"/>
                <w:color w:val="172033"/>
                <w:sz w:val="17"/>
              </w:rPr>
              <w:t>Buyer dashboard exposes quote decisions and purchase-order upload.</w:t>
            </w:r>
          </w:p>
        </w:tc>
        <w:tc>
          <w:tcPr>
            <w:tcW w:type="dxa" w:w="2541"/>
            <w:vAlign w:val="center"/>
            <w:shd w:fill="F7F9F5"/>
          </w:tcPr>
          <w:p>
            <w:pPr>
              <w:spacing w:after="40"/>
            </w:pPr>
            <w:r/>
            <w:r>
              <w:rPr>
                <w:rFonts w:ascii="Aptos" w:hAnsi="Aptos"/>
                <w:b w:val="0"/>
                <w:color w:val="172033"/>
                <w:sz w:val="17"/>
              </w:rPr>
              <w:t>Define expiry, revision limits, approval authority, and audit history.</w:t>
            </w:r>
          </w:p>
        </w:tc>
      </w:tr>
      <w:tr>
        <w:tc>
          <w:tcPr>
            <w:tcW w:type="dxa" w:w="2541"/>
            <w:vAlign w:val="center"/>
          </w:tcPr>
          <w:p>
            <w:pPr>
              <w:spacing w:after="40"/>
            </w:pPr>
            <w:r/>
            <w:r>
              <w:rPr>
                <w:rFonts w:ascii="Aptos" w:hAnsi="Aptos"/>
                <w:b w:val="0"/>
                <w:color w:val="172033"/>
                <w:sz w:val="17"/>
              </w:rPr>
              <w:t>5. Order release</w:t>
            </w:r>
          </w:p>
        </w:tc>
        <w:tc>
          <w:tcPr>
            <w:tcW w:type="dxa" w:w="2541"/>
            <w:vAlign w:val="center"/>
          </w:tcPr>
          <w:p>
            <w:pPr>
              <w:spacing w:after="40"/>
            </w:pPr>
            <w:r/>
            <w:r>
              <w:rPr>
                <w:rFonts w:ascii="Aptos" w:hAnsi="Aptos"/>
                <w:b w:val="0"/>
                <w:color w:val="172033"/>
                <w:sz w:val="17"/>
              </w:rPr>
              <w:t>System creates order after accepted quote plus PO or required payment condition.</w:t>
            </w:r>
          </w:p>
        </w:tc>
        <w:tc>
          <w:tcPr>
            <w:tcW w:type="dxa" w:w="2541"/>
            <w:vAlign w:val="center"/>
          </w:tcPr>
          <w:p>
            <w:pPr>
              <w:spacing w:after="40"/>
            </w:pPr>
            <w:r/>
            <w:r>
              <w:rPr>
                <w:rFonts w:ascii="Aptos" w:hAnsi="Aptos"/>
                <w:b w:val="0"/>
                <w:color w:val="172033"/>
                <w:sz w:val="17"/>
              </w:rPr>
              <w:t>Purchase-order and payment mutations are present; finance queue supports order release.</w:t>
            </w:r>
          </w:p>
        </w:tc>
        <w:tc>
          <w:tcPr>
            <w:tcW w:type="dxa" w:w="2541"/>
            <w:vAlign w:val="center"/>
          </w:tcPr>
          <w:p>
            <w:pPr>
              <w:spacing w:after="40"/>
            </w:pPr>
            <w:r/>
            <w:r>
              <w:rPr>
                <w:rFonts w:ascii="Aptos" w:hAnsi="Aptos"/>
                <w:b w:val="0"/>
                <w:color w:val="172033"/>
                <w:sz w:val="17"/>
              </w:rPr>
              <w:t>Use a single release gate so no production starts without approved commercial evidence.</w:t>
            </w:r>
          </w:p>
        </w:tc>
      </w:tr>
      <w:tr>
        <w:tc>
          <w:tcPr>
            <w:tcW w:type="dxa" w:w="2541"/>
            <w:vAlign w:val="center"/>
            <w:shd w:fill="F7F9F5"/>
          </w:tcPr>
          <w:p>
            <w:pPr>
              <w:spacing w:after="40"/>
            </w:pPr>
            <w:r/>
            <w:r>
              <w:rPr>
                <w:rFonts w:ascii="Aptos" w:hAnsi="Aptos"/>
                <w:b w:val="0"/>
                <w:color w:val="172033"/>
                <w:sz w:val="17"/>
              </w:rPr>
              <w:t>6. Advance and receipt</w:t>
            </w:r>
          </w:p>
        </w:tc>
        <w:tc>
          <w:tcPr>
            <w:tcW w:type="dxa" w:w="2541"/>
            <w:vAlign w:val="center"/>
            <w:shd w:fill="F7F9F5"/>
          </w:tcPr>
          <w:p>
            <w:pPr>
              <w:spacing w:after="40"/>
            </w:pPr>
            <w:r/>
            <w:r>
              <w:rPr>
                <w:rFonts w:ascii="Aptos" w:hAnsi="Aptos"/>
                <w:b w:val="0"/>
                <w:color w:val="172033"/>
                <w:sz w:val="17"/>
              </w:rPr>
              <w:t>Buyer pays advance or full amount; receipt voucher is generated.</w:t>
            </w:r>
          </w:p>
        </w:tc>
        <w:tc>
          <w:tcPr>
            <w:tcW w:type="dxa" w:w="2541"/>
            <w:vAlign w:val="center"/>
            <w:shd w:fill="F7F9F5"/>
          </w:tcPr>
          <w:p>
            <w:pPr>
              <w:spacing w:after="40"/>
            </w:pPr>
            <w:r/>
            <w:r>
              <w:rPr>
                <w:rFonts w:ascii="Aptos" w:hAnsi="Aptos"/>
                <w:b w:val="0"/>
                <w:color w:val="172033"/>
                <w:sz w:val="17"/>
              </w:rPr>
              <w:t>Razorpay flows, payment confirmation, balance links, and receipt voucher are implemented.</w:t>
            </w:r>
          </w:p>
        </w:tc>
        <w:tc>
          <w:tcPr>
            <w:tcW w:type="dxa" w:w="2541"/>
            <w:vAlign w:val="center"/>
            <w:shd w:fill="F7F9F5"/>
          </w:tcPr>
          <w:p>
            <w:pPr>
              <w:spacing w:after="40"/>
            </w:pPr>
            <w:r/>
            <w:r>
              <w:rPr>
                <w:rFonts w:ascii="Aptos" w:hAnsi="Aptos"/>
                <w:b w:val="0"/>
                <w:color w:val="172033"/>
                <w:sz w:val="17"/>
              </w:rPr>
              <w:t>Handle failed, duplicate, delayed, and unmatched payments with reconciliation ownership.</w:t>
            </w:r>
          </w:p>
        </w:tc>
      </w:tr>
      <w:tr>
        <w:tc>
          <w:tcPr>
            <w:tcW w:type="dxa" w:w="2541"/>
            <w:vAlign w:val="center"/>
          </w:tcPr>
          <w:p>
            <w:pPr>
              <w:spacing w:after="40"/>
            </w:pPr>
            <w:r/>
            <w:r>
              <w:rPr>
                <w:rFonts w:ascii="Aptos" w:hAnsi="Aptos"/>
                <w:b w:val="0"/>
                <w:color w:val="172033"/>
                <w:sz w:val="17"/>
              </w:rPr>
              <w:t>7. Supplier fulfilment</w:t>
            </w:r>
          </w:p>
        </w:tc>
        <w:tc>
          <w:tcPr>
            <w:tcW w:type="dxa" w:w="2541"/>
            <w:vAlign w:val="center"/>
          </w:tcPr>
          <w:p>
            <w:pPr>
              <w:spacing w:after="40"/>
            </w:pPr>
            <w:r/>
            <w:r>
              <w:rPr>
                <w:rFonts w:ascii="Aptos" w:hAnsi="Aptos"/>
                <w:b w:val="0"/>
                <w:color w:val="172033"/>
                <w:sz w:val="17"/>
              </w:rPr>
              <w:t>Vendor PO, production, QC, shipment, dispatch, and delivery are tracked.</w:t>
            </w:r>
          </w:p>
        </w:tc>
        <w:tc>
          <w:tcPr>
            <w:tcW w:type="dxa" w:w="2541"/>
            <w:vAlign w:val="center"/>
          </w:tcPr>
          <w:p>
            <w:pPr>
              <w:spacing w:after="40"/>
            </w:pPr>
            <w:r/>
            <w:r>
              <w:rPr>
                <w:rFonts w:ascii="Aptos" w:hAnsi="Aptos"/>
                <w:b w:val="0"/>
                <w:color w:val="172033"/>
                <w:sz w:val="17"/>
              </w:rPr>
              <w:t>Document chain, QC review, status timeline, and shipment workspace are present.</w:t>
            </w:r>
          </w:p>
        </w:tc>
        <w:tc>
          <w:tcPr>
            <w:tcW w:type="dxa" w:w="2541"/>
            <w:vAlign w:val="center"/>
          </w:tcPr>
          <w:p>
            <w:pPr>
              <w:spacing w:after="40"/>
            </w:pPr>
            <w:r/>
            <w:r>
              <w:rPr>
                <w:rFonts w:ascii="Aptos" w:hAnsi="Aptos"/>
                <w:b w:val="0"/>
                <w:color w:val="172033"/>
                <w:sz w:val="17"/>
              </w:rPr>
              <w:t>Make QC approval and dispatch prerequisites explicit and enforce role permissions.</w:t>
            </w:r>
          </w:p>
        </w:tc>
      </w:tr>
      <w:tr>
        <w:tc>
          <w:tcPr>
            <w:tcW w:type="dxa" w:w="2541"/>
            <w:vAlign w:val="center"/>
            <w:shd w:fill="F7F9F5"/>
          </w:tcPr>
          <w:p>
            <w:pPr>
              <w:spacing w:after="40"/>
            </w:pPr>
            <w:r/>
            <w:r>
              <w:rPr>
                <w:rFonts w:ascii="Aptos" w:hAnsi="Aptos"/>
                <w:b w:val="0"/>
                <w:color w:val="172033"/>
                <w:sz w:val="17"/>
              </w:rPr>
              <w:t>8. Final billing</w:t>
            </w:r>
          </w:p>
        </w:tc>
        <w:tc>
          <w:tcPr>
            <w:tcW w:type="dxa" w:w="2541"/>
            <w:vAlign w:val="center"/>
            <w:shd w:fill="F7F9F5"/>
          </w:tcPr>
          <w:p>
            <w:pPr>
              <w:spacing w:after="40"/>
            </w:pPr>
            <w:r/>
            <w:r>
              <w:rPr>
                <w:rFonts w:ascii="Aptos" w:hAnsi="Aptos"/>
                <w:b w:val="0"/>
                <w:color w:val="172033"/>
                <w:sz w:val="17"/>
              </w:rPr>
              <w:t>Customer tax invoice is issued; balance is collected where applicable.</w:t>
            </w:r>
          </w:p>
        </w:tc>
        <w:tc>
          <w:tcPr>
            <w:tcW w:type="dxa" w:w="2541"/>
            <w:vAlign w:val="center"/>
            <w:shd w:fill="F7F9F5"/>
          </w:tcPr>
          <w:p>
            <w:pPr>
              <w:spacing w:after="40"/>
            </w:pPr>
            <w:r/>
            <w:r>
              <w:rPr>
                <w:rFonts w:ascii="Aptos" w:hAnsi="Aptos"/>
                <w:b w:val="0"/>
                <w:color w:val="172033"/>
                <w:sz w:val="17"/>
              </w:rPr>
              <w:t>Tax invoice, balance payment link, payment status, and paid-in-full variant exist.</w:t>
            </w:r>
          </w:p>
        </w:tc>
        <w:tc>
          <w:tcPr>
            <w:tcW w:type="dxa" w:w="2541"/>
            <w:vAlign w:val="center"/>
            <w:shd w:fill="F7F9F5"/>
          </w:tcPr>
          <w:p>
            <w:pPr>
              <w:spacing w:after="40"/>
            </w:pPr>
            <w:r/>
            <w:r>
              <w:rPr>
                <w:rFonts w:ascii="Aptos" w:hAnsi="Aptos"/>
                <w:b w:val="0"/>
                <w:color w:val="172033"/>
                <w:sz w:val="17"/>
              </w:rPr>
              <w:t>Define issue timing, place-of-supply, tax identity, credit/adjustment handling, and reissue policy.</w:t>
            </w:r>
          </w:p>
        </w:tc>
      </w:tr>
      <w:tr>
        <w:tc>
          <w:tcPr>
            <w:tcW w:type="dxa" w:w="2541"/>
            <w:vAlign w:val="center"/>
          </w:tcPr>
          <w:p>
            <w:pPr>
              <w:spacing w:after="40"/>
            </w:pPr>
            <w:r/>
            <w:r>
              <w:rPr>
                <w:rFonts w:ascii="Aptos" w:hAnsi="Aptos"/>
                <w:b w:val="0"/>
                <w:color w:val="172033"/>
                <w:sz w:val="17"/>
              </w:rPr>
              <w:t>9. Settlement</w:t>
            </w:r>
          </w:p>
        </w:tc>
        <w:tc>
          <w:tcPr>
            <w:tcW w:type="dxa" w:w="2541"/>
            <w:vAlign w:val="center"/>
          </w:tcPr>
          <w:p>
            <w:pPr>
              <w:spacing w:after="40"/>
            </w:pPr>
            <w:r/>
            <w:r>
              <w:rPr>
                <w:rFonts w:ascii="Aptos" w:hAnsi="Aptos"/>
                <w:b w:val="0"/>
                <w:color w:val="172033"/>
                <w:sz w:val="17"/>
              </w:rPr>
              <w:t>Supplier settlement is produced after delivery and finance checks.</w:t>
            </w:r>
          </w:p>
        </w:tc>
        <w:tc>
          <w:tcPr>
            <w:tcW w:type="dxa" w:w="2541"/>
            <w:vAlign w:val="center"/>
          </w:tcPr>
          <w:p>
            <w:pPr>
              <w:spacing w:after="40"/>
            </w:pPr>
            <w:r/>
            <w:r>
              <w:rPr>
                <w:rFonts w:ascii="Aptos" w:hAnsi="Aptos"/>
                <w:b w:val="0"/>
                <w:color w:val="172033"/>
                <w:sz w:val="17"/>
              </w:rPr>
              <w:t>Settlement statement includes commission, GST on commission, TCS, TDS, and net remittance.</w:t>
            </w:r>
          </w:p>
        </w:tc>
        <w:tc>
          <w:tcPr>
            <w:tcW w:type="dxa" w:w="2541"/>
            <w:vAlign w:val="center"/>
          </w:tcPr>
          <w:p>
            <w:pPr>
              <w:spacing w:after="40"/>
            </w:pPr>
            <w:r/>
            <w:r>
              <w:rPr>
                <w:rFonts w:ascii="Aptos" w:hAnsi="Aptos"/>
                <w:b w:val="0"/>
                <w:color w:val="172033"/>
                <w:sz w:val="17"/>
              </w:rPr>
              <w:t>Tie settlement to delivery confirmation, final invoice, returns/replacements, and payout status.</w:t>
            </w:r>
          </w:p>
        </w:tc>
      </w:tr>
    </w:tbl>
    <w:p>
      <w:pPr>
        <w:spacing w:after="40"/>
      </w:pPr>
    </w:p>
    <w:p>
      <w:pPr>
        <w:pStyle w:val="Heading1"/>
        <w:keepNext/>
      </w:pPr>
      <w:r>
        <w:t>4 Current features by capability</w:t>
      </w:r>
    </w:p>
    <w:p>
      <w:pPr>
        <w:pStyle w:val="Heading2"/>
        <w:keepNext/>
      </w:pPr>
      <w:r>
        <w:t>Buyer and company data</w:t>
      </w:r>
    </w:p>
    <w:p>
      <w:pPr>
        <w:pStyle w:val="ListBullet"/>
        <w:spacing w:after="60"/>
      </w:pPr>
      <w:r>
        <w:t>Corporate profile and company snapshot</w:t>
      </w:r>
    </w:p>
    <w:p>
      <w:pPr>
        <w:pStyle w:val="ListBullet"/>
        <w:spacing w:after="60"/>
      </w:pPr>
      <w:r>
        <w:t>Company name, contact person, email, phone, GSTIN, delivery address</w:t>
      </w:r>
    </w:p>
    <w:p>
      <w:pPr>
        <w:pStyle w:val="ListBullet"/>
        <w:spacing w:after="60"/>
      </w:pPr>
      <w:r>
        <w:t>Employee count and employee size-sheet upload</w:t>
      </w:r>
    </w:p>
    <w:p>
      <w:pPr>
        <w:pStyle w:val="ListBullet"/>
        <w:spacing w:after="60"/>
      </w:pPr>
      <w:r>
        <w:t>Customer notes and payment preference</w:t>
      </w:r>
    </w:p>
    <w:p>
      <w:pPr>
        <w:pStyle w:val="Heading2"/>
        <w:keepNext/>
      </w:pPr>
      <w:r>
        <w:t>Product and customization</w:t>
      </w:r>
    </w:p>
    <w:p>
      <w:pPr>
        <w:pStyle w:val="ListBullet"/>
        <w:spacing w:after="60"/>
      </w:pPr>
      <w:r>
        <w:t>Product type, GSM, fabric composition, colours</w:t>
      </w:r>
    </w:p>
    <w:p>
      <w:pPr>
        <w:pStyle w:val="ListBullet"/>
        <w:spacing w:after="60"/>
      </w:pPr>
      <w:r>
        <w:t>Logo placement, print method, artwork upload</w:t>
      </w:r>
    </w:p>
    <w:p>
      <w:pPr>
        <w:pStyle w:val="ListBullet"/>
        <w:spacing w:after="60"/>
      </w:pPr>
      <w:r>
        <w:t>Custom colours and extra charge rules</w:t>
      </w:r>
    </w:p>
    <w:p>
      <w:pPr>
        <w:pStyle w:val="ListBullet"/>
        <w:spacing w:after="60"/>
      </w:pPr>
      <w:r>
        <w:t>Quantity and configured quote summary</w:t>
      </w:r>
    </w:p>
    <w:p>
      <w:pPr>
        <w:pStyle w:val="Heading2"/>
        <w:keepNext/>
      </w:pPr>
      <w:r>
        <w:t>Commercial workflow</w:t>
      </w:r>
    </w:p>
    <w:p>
      <w:pPr>
        <w:pStyle w:val="ListBullet"/>
        <w:spacing w:after="60"/>
      </w:pPr>
      <w:r>
        <w:t>RFQ creation and attachments</w:t>
      </w:r>
    </w:p>
    <w:p>
      <w:pPr>
        <w:pStyle w:val="ListBullet"/>
        <w:spacing w:after="60"/>
      </w:pPr>
      <w:r>
        <w:t>Admin manual quote creation</w:t>
      </w:r>
    </w:p>
    <w:p>
      <w:pPr>
        <w:pStyle w:val="ListBullet"/>
        <w:spacing w:after="60"/>
      </w:pPr>
      <w:r>
        <w:t>Quote revision history and buyer decision</w:t>
      </w:r>
    </w:p>
    <w:p>
      <w:pPr>
        <w:pStyle w:val="ListBullet"/>
        <w:spacing w:after="60"/>
      </w:pPr>
      <w:r>
        <w:t>Purchase-order upload and direct admin order creation</w:t>
      </w:r>
    </w:p>
    <w:p>
      <w:pPr>
        <w:pStyle w:val="ListBullet"/>
        <w:spacing w:after="60"/>
      </w:pPr>
      <w:r>
        <w:t>Partial advance or full upfront payment options</w:t>
      </w:r>
    </w:p>
    <w:p>
      <w:pPr>
        <w:pStyle w:val="Heading2"/>
        <w:keepNext/>
      </w:pPr>
      <w:r>
        <w:t>Operations</w:t>
      </w:r>
    </w:p>
    <w:p>
      <w:pPr>
        <w:pStyle w:val="ListBullet"/>
        <w:spacing w:after="60"/>
      </w:pPr>
      <w:r>
        <w:t>Corporate order status timeline</w:t>
      </w:r>
    </w:p>
    <w:p>
      <w:pPr>
        <w:pStyle w:val="ListBullet"/>
        <w:spacing w:after="60"/>
      </w:pPr>
      <w:r>
        <w:t>Quality-control submission and approve/reject actions</w:t>
      </w:r>
    </w:p>
    <w:p>
      <w:pPr>
        <w:pStyle w:val="ListBullet"/>
        <w:spacing w:after="60"/>
      </w:pPr>
      <w:r>
        <w:t>Ready for dispatch, dispatched, delivered, and replacement flows</w:t>
      </w:r>
    </w:p>
    <w:p>
      <w:pPr>
        <w:pStyle w:val="ListBullet"/>
        <w:spacing w:after="60"/>
      </w:pPr>
      <w:r>
        <w:t>Shipment workspace and dispatch details</w:t>
      </w:r>
    </w:p>
    <w:p>
      <w:pPr>
        <w:pStyle w:val="ListBullet"/>
        <w:spacing w:after="60"/>
      </w:pPr>
      <w:r>
        <w:t>Brand-side corporate order workspace</w:t>
      </w:r>
    </w:p>
    <w:p>
      <w:pPr>
        <w:pStyle w:val="Heading2"/>
        <w:keepNext/>
      </w:pPr>
      <w:r>
        <w:t>Finance and documents</w:t>
      </w:r>
    </w:p>
    <w:p>
      <w:pPr>
        <w:pStyle w:val="ListBullet"/>
        <w:spacing w:after="60"/>
      </w:pPr>
      <w:r>
        <w:t>Proforma invoice</w:t>
      </w:r>
    </w:p>
    <w:p>
      <w:pPr>
        <w:pStyle w:val="ListBullet"/>
        <w:spacing w:after="60"/>
      </w:pPr>
      <w:r>
        <w:t>Customer tax invoice</w:t>
      </w:r>
    </w:p>
    <w:p>
      <w:pPr>
        <w:pStyle w:val="ListBullet"/>
        <w:spacing w:after="60"/>
      </w:pPr>
      <w:r>
        <w:t>Vendor purchase order</w:t>
      </w:r>
    </w:p>
    <w:p>
      <w:pPr>
        <w:pStyle w:val="ListBullet"/>
        <w:spacing w:after="60"/>
      </w:pPr>
      <w:r>
        <w:t>Receipt voucher</w:t>
      </w:r>
    </w:p>
    <w:p>
      <w:pPr>
        <w:pStyle w:val="ListBullet"/>
        <w:spacing w:after="60"/>
      </w:pPr>
      <w:r>
        <w:t>Delivery challan</w:t>
      </w:r>
    </w:p>
    <w:p>
      <w:pPr>
        <w:pStyle w:val="ListBullet"/>
        <w:spacing w:after="60"/>
      </w:pPr>
      <w:r>
        <w:t>Settlement statement</w:t>
      </w:r>
    </w:p>
    <w:p>
      <w:pPr>
        <w:pStyle w:val="ListBullet"/>
        <w:spacing w:after="60"/>
      </w:pPr>
      <w:r>
        <w:t>Corporate order summary</w:t>
      </w:r>
    </w:p>
    <w:p>
      <w:pPr>
        <w:pStyle w:val="ListBullet"/>
        <w:spacing w:after="60"/>
      </w:pPr>
      <w:r>
        <w:t>Payment ledger and balance payment links</w:t>
      </w:r>
    </w:p>
    <w:p>
      <w:r>
        <w:br w:type="page"/>
      </w:r>
    </w:p>
    <w:p>
      <w:pPr>
        <w:pStyle w:val="Heading1"/>
        <w:keepNext/>
      </w:pPr>
      <w:r>
        <w:t>5 Current screens and document evidence</w:t>
      </w:r>
    </w:p>
    <w:p>
      <w:pPr>
        <w:spacing w:after="120" w:line="269" w:lineRule="auto"/>
      </w:pPr>
      <w:r>
        <w:t>The following captures are rendered from current repository previews. They are representative artifacts of the present document chain and should be used as the baseline for product, finance, and operations sign-off.</w:t>
      </w:r>
    </w:p>
    <w:p>
      <w:pPr>
        <w:jc w:val="center"/>
      </w:pPr>
      <w:r>
        <w:drawing>
          <wp:inline xmlns:a="http://schemas.openxmlformats.org/drawingml/2006/main" xmlns:pic="http://schemas.openxmlformats.org/drawingml/2006/picture">
            <wp:extent cx="5074920" cy="7177630"/>
            <wp:docPr id="1" name="Picture 1"/>
            <wp:cNvGraphicFramePr>
              <a:graphicFrameLocks noChangeAspect="1"/>
            </wp:cNvGraphicFramePr>
            <a:graphic>
              <a:graphicData uri="http://schemas.openxmlformats.org/drawingml/2006/picture">
                <pic:pic>
                  <pic:nvPicPr>
                    <pic:cNvPr id="0" name="corporate-order-summary.png"/>
                    <pic:cNvPicPr/>
                  </pic:nvPicPr>
                  <pic:blipFill>
                    <a:blip r:embed="rId10"/>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 Corporate order summary showing company information, garment configuration, branding/extras, order value, advance paid, and balance due.</w:t>
      </w:r>
    </w:p>
    <w:p>
      <w:pPr>
        <w:jc w:val="center"/>
      </w:pPr>
      <w:r>
        <w:drawing>
          <wp:inline xmlns:a="http://schemas.openxmlformats.org/drawingml/2006/main" xmlns:pic="http://schemas.openxmlformats.org/drawingml/2006/picture">
            <wp:extent cx="5074920" cy="7177630"/>
            <wp:docPr id="2" name="Picture 2"/>
            <wp:cNvGraphicFramePr>
              <a:graphicFrameLocks noChangeAspect="1"/>
            </wp:cNvGraphicFramePr>
            <a:graphic>
              <a:graphicData uri="http://schemas.openxmlformats.org/drawingml/2006/picture">
                <pic:pic>
                  <pic:nvPicPr>
                    <pic:cNvPr id="0" name="corporate-proforma-invoice-preview.png"/>
                    <pic:cNvPicPr/>
                  </pic:nvPicPr>
                  <pic:blipFill>
                    <a:blip r:embed="rId11"/>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2. Proforma invoice showing buyer/seller, quote reference, taxable value, GST, advance terms, and validity.</w:t>
      </w:r>
    </w:p>
    <w:p>
      <w:r>
        <w:br w:type="page"/>
      </w:r>
    </w:p>
    <w:p>
      <w:pPr>
        <w:jc w:val="center"/>
      </w:pPr>
      <w:r>
        <w:drawing>
          <wp:inline xmlns:a="http://schemas.openxmlformats.org/drawingml/2006/main" xmlns:pic="http://schemas.openxmlformats.org/drawingml/2006/picture">
            <wp:extent cx="5074920" cy="7177630"/>
            <wp:docPr id="3" name="Picture 3"/>
            <wp:cNvGraphicFramePr>
              <a:graphicFrameLocks noChangeAspect="1"/>
            </wp:cNvGraphicFramePr>
            <a:graphic>
              <a:graphicData uri="http://schemas.openxmlformats.org/drawingml/2006/picture">
                <pic:pic>
                  <pic:nvPicPr>
                    <pic:cNvPr id="0" name="corporate-renivet-purchase-order-preview.png"/>
                    <pic:cNvPicPr/>
                  </pic:nvPicPr>
                  <pic:blipFill>
                    <a:blip r:embed="rId12"/>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3. Renivet purchase order showing buyer, supplier, corporate order, customer PO, delivery mode, item, tax, and terms.</w:t>
      </w:r>
    </w:p>
    <w:p>
      <w:pPr>
        <w:jc w:val="center"/>
      </w:pPr>
      <w:r>
        <w:drawing>
          <wp:inline xmlns:a="http://schemas.openxmlformats.org/drawingml/2006/main" xmlns:pic="http://schemas.openxmlformats.org/drawingml/2006/picture">
            <wp:extent cx="5074920" cy="7177630"/>
            <wp:docPr id="4" name="Picture 4"/>
            <wp:cNvGraphicFramePr>
              <a:graphicFrameLocks noChangeAspect="1"/>
            </wp:cNvGraphicFramePr>
            <a:graphic>
              <a:graphicData uri="http://schemas.openxmlformats.org/drawingml/2006/picture">
                <pic:pic>
                  <pic:nvPicPr>
                    <pic:cNvPr id="0" name="corporate-receipt-voucher-preview.png"/>
                    <pic:cNvPicPr/>
                  </pic:nvPicPr>
                  <pic:blipFill>
                    <a:blip r:embed="rId13"/>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4. Receipt voucher showing advance received, payment reference, GST treatment, receipt total, and bank details.</w:t>
      </w:r>
    </w:p>
    <w:p>
      <w:r>
        <w:br w:type="page"/>
      </w:r>
    </w:p>
    <w:p>
      <w:pPr>
        <w:jc w:val="center"/>
      </w:pPr>
      <w:r>
        <w:drawing>
          <wp:inline xmlns:a="http://schemas.openxmlformats.org/drawingml/2006/main" xmlns:pic="http://schemas.openxmlformats.org/drawingml/2006/picture">
            <wp:extent cx="5074920" cy="7177630"/>
            <wp:docPr id="5" name="Picture 5"/>
            <wp:cNvGraphicFramePr>
              <a:graphicFrameLocks noChangeAspect="1"/>
            </wp:cNvGraphicFramePr>
            <a:graphic>
              <a:graphicData uri="http://schemas.openxmlformats.org/drawingml/2006/picture">
                <pic:pic>
                  <pic:nvPicPr>
                    <pic:cNvPr id="0" name="corporate-delivery-challan-preview.png"/>
                    <pic:cNvPicPr/>
                  </pic:nvPicPr>
                  <pic:blipFill>
                    <a:blip r:embed="rId14"/>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5. Delivery challan showing consignor, consignee, Renivet PO, e-way bill reference, goods movement, and terms.</w:t>
      </w:r>
    </w:p>
    <w:p>
      <w:pPr>
        <w:jc w:val="center"/>
      </w:pPr>
      <w:r>
        <w:drawing>
          <wp:inline xmlns:a="http://schemas.openxmlformats.org/drawingml/2006/main" xmlns:pic="http://schemas.openxmlformats.org/drawingml/2006/picture">
            <wp:extent cx="5074920" cy="7177630"/>
            <wp:docPr id="6" name="Picture 6"/>
            <wp:cNvGraphicFramePr>
              <a:graphicFrameLocks noChangeAspect="1"/>
            </wp:cNvGraphicFramePr>
            <a:graphic>
              <a:graphicData uri="http://schemas.openxmlformats.org/drawingml/2006/picture">
                <pic:pic>
                  <pic:nvPicPr>
                    <pic:cNvPr id="0" name="corporate-settlement-statement-preview.png"/>
                    <pic:cNvPicPr/>
                  </pic:nvPicPr>
                  <pic:blipFill>
                    <a:blip r:embed="rId15"/>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6. Settlement statement showing gross collection, embedded GST, platform commission, GST on commission, TCS, TDS, and net remittance.</w:t>
      </w:r>
    </w:p>
    <w:p>
      <w:r>
        <w:br w:type="page"/>
      </w:r>
    </w:p>
    <w:p>
      <w:pPr>
        <w:jc w:val="center"/>
      </w:pPr>
      <w:r>
        <w:drawing>
          <wp:inline xmlns:a="http://schemas.openxmlformats.org/drawingml/2006/main" xmlns:pic="http://schemas.openxmlformats.org/drawingml/2006/picture">
            <wp:extent cx="5074920" cy="7177630"/>
            <wp:docPr id="7" name="Picture 7"/>
            <wp:cNvGraphicFramePr>
              <a:graphicFrameLocks noChangeAspect="1"/>
            </wp:cNvGraphicFramePr>
            <a:graphic>
              <a:graphicData uri="http://schemas.openxmlformats.org/drawingml/2006/picture">
                <pic:pic>
                  <pic:nvPicPr>
                    <pic:cNvPr id="0" name="corporate-full-payment-invoice-preview.png"/>
                    <pic:cNvPicPr/>
                  </pic:nvPicPr>
                  <pic:blipFill>
                    <a:blip r:embed="rId16"/>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7. Customer tax invoice marked paid in full, including advance received, balance due, place of supply, GST breakup, QR, and declarations.</w:t>
      </w:r>
    </w:p>
    <w:p>
      <w:pPr>
        <w:pStyle w:val="Heading1"/>
        <w:keepNext/>
      </w:pPr>
      <w:r>
        <w:t>6 Document chain and ownership</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033"/>
        <w:gridCol w:w="2033"/>
        <w:gridCol w:w="2033"/>
        <w:gridCol w:w="2033"/>
        <w:gridCol w:w="2033"/>
      </w:tblGrid>
      <w:tr>
        <w:trPr>
          <w:tblHeader/>
        </w:trPr>
        <w:tc>
          <w:tcPr>
            <w:tcW w:type="dxa" w:w="2033"/>
            <w:vAlign w:val="center"/>
            <w:shd w:fill="3F6045"/>
          </w:tcPr>
          <w:p>
            <w:pPr>
              <w:spacing w:after="40"/>
            </w:pPr>
            <w:r/>
            <w:r>
              <w:rPr>
                <w:rFonts w:ascii="Aptos" w:hAnsi="Aptos"/>
                <w:b/>
                <w:color w:val="FFFFFF"/>
                <w:sz w:val="17"/>
              </w:rPr>
              <w:t>Document</w:t>
            </w:r>
          </w:p>
        </w:tc>
        <w:tc>
          <w:tcPr>
            <w:tcW w:type="dxa" w:w="2033"/>
            <w:vAlign w:val="center"/>
            <w:shd w:fill="3F6045"/>
          </w:tcPr>
          <w:p>
            <w:pPr>
              <w:spacing w:after="40"/>
            </w:pPr>
            <w:r/>
            <w:r>
              <w:rPr>
                <w:rFonts w:ascii="Aptos" w:hAnsi="Aptos"/>
                <w:b/>
                <w:color w:val="FFFFFF"/>
                <w:sz w:val="17"/>
              </w:rPr>
              <w:t>Purpose</w:t>
            </w:r>
          </w:p>
        </w:tc>
        <w:tc>
          <w:tcPr>
            <w:tcW w:type="dxa" w:w="2033"/>
            <w:vAlign w:val="center"/>
            <w:shd w:fill="3F6045"/>
          </w:tcPr>
          <w:p>
            <w:pPr>
              <w:spacing w:after="40"/>
            </w:pPr>
            <w:r/>
            <w:r>
              <w:rPr>
                <w:rFonts w:ascii="Aptos" w:hAnsi="Aptos"/>
                <w:b/>
                <w:color w:val="FFFFFF"/>
                <w:sz w:val="17"/>
              </w:rPr>
              <w:t>Likely issuer</w:t>
            </w:r>
          </w:p>
        </w:tc>
        <w:tc>
          <w:tcPr>
            <w:tcW w:type="dxa" w:w="2033"/>
            <w:vAlign w:val="center"/>
            <w:shd w:fill="3F6045"/>
          </w:tcPr>
          <w:p>
            <w:pPr>
              <w:spacing w:after="40"/>
            </w:pPr>
            <w:r/>
            <w:r>
              <w:rPr>
                <w:rFonts w:ascii="Aptos" w:hAnsi="Aptos"/>
                <w:b/>
                <w:color w:val="FFFFFF"/>
                <w:sz w:val="17"/>
              </w:rPr>
              <w:t>Trigger or prerequisite</w:t>
            </w:r>
          </w:p>
        </w:tc>
        <w:tc>
          <w:tcPr>
            <w:tcW w:type="dxa" w:w="2033"/>
            <w:vAlign w:val="center"/>
            <w:shd w:fill="3F6045"/>
          </w:tcPr>
          <w:p>
            <w:pPr>
              <w:spacing w:after="40"/>
            </w:pPr>
            <w:r/>
            <w:r>
              <w:rPr>
                <w:rFonts w:ascii="Aptos" w:hAnsi="Aptos"/>
                <w:b/>
                <w:color w:val="FFFFFF"/>
                <w:sz w:val="17"/>
              </w:rPr>
              <w:t>Current evidence</w:t>
            </w:r>
          </w:p>
        </w:tc>
      </w:tr>
      <w:tr>
        <w:tc>
          <w:tcPr>
            <w:tcW w:type="dxa" w:w="2033"/>
            <w:vAlign w:val="center"/>
          </w:tcPr>
          <w:p>
            <w:pPr>
              <w:spacing w:after="40"/>
            </w:pPr>
            <w:r/>
            <w:r>
              <w:rPr>
                <w:rFonts w:ascii="Aptos" w:hAnsi="Aptos"/>
                <w:b w:val="0"/>
                <w:color w:val="172033"/>
                <w:sz w:val="17"/>
              </w:rPr>
              <w:t>Proforma invoice</w:t>
            </w:r>
          </w:p>
        </w:tc>
        <w:tc>
          <w:tcPr>
            <w:tcW w:type="dxa" w:w="2033"/>
            <w:vAlign w:val="center"/>
          </w:tcPr>
          <w:p>
            <w:pPr>
              <w:spacing w:after="40"/>
            </w:pPr>
            <w:r/>
            <w:r>
              <w:rPr>
                <w:rFonts w:ascii="Aptos" w:hAnsi="Aptos"/>
                <w:b w:val="0"/>
                <w:color w:val="172033"/>
                <w:sz w:val="17"/>
              </w:rPr>
              <w:t>Commercial proposal before supply; not a tax invoice</w:t>
            </w:r>
          </w:p>
        </w:tc>
        <w:tc>
          <w:tcPr>
            <w:tcW w:type="dxa" w:w="2033"/>
            <w:vAlign w:val="center"/>
          </w:tcPr>
          <w:p>
            <w:pPr>
              <w:spacing w:after="40"/>
            </w:pPr>
            <w:r/>
            <w:r>
              <w:rPr>
                <w:rFonts w:ascii="Aptos" w:hAnsi="Aptos"/>
                <w:b w:val="0"/>
                <w:color w:val="172033"/>
                <w:sz w:val="17"/>
              </w:rPr>
              <w:t>Renivet / corporate finance</w:t>
            </w:r>
          </w:p>
        </w:tc>
        <w:tc>
          <w:tcPr>
            <w:tcW w:type="dxa" w:w="2033"/>
            <w:vAlign w:val="center"/>
          </w:tcPr>
          <w:p>
            <w:pPr>
              <w:spacing w:after="40"/>
            </w:pPr>
            <w:r/>
            <w:r>
              <w:rPr>
                <w:rFonts w:ascii="Aptos" w:hAnsi="Aptos"/>
                <w:b w:val="0"/>
                <w:color w:val="172033"/>
                <w:sz w:val="17"/>
              </w:rPr>
              <w:t>Approved quote or advance/order setup</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Customer purchase order</w:t>
            </w:r>
          </w:p>
        </w:tc>
        <w:tc>
          <w:tcPr>
            <w:tcW w:type="dxa" w:w="2033"/>
            <w:vAlign w:val="center"/>
            <w:shd w:fill="F7F9F5"/>
          </w:tcPr>
          <w:p>
            <w:pPr>
              <w:spacing w:after="40"/>
            </w:pPr>
            <w:r/>
            <w:r>
              <w:rPr>
                <w:rFonts w:ascii="Aptos" w:hAnsi="Aptos"/>
                <w:b w:val="0"/>
                <w:color w:val="172033"/>
                <w:sz w:val="17"/>
              </w:rPr>
              <w:t>Buyer authorization and scope</w:t>
            </w:r>
          </w:p>
        </w:tc>
        <w:tc>
          <w:tcPr>
            <w:tcW w:type="dxa" w:w="2033"/>
            <w:vAlign w:val="center"/>
            <w:shd w:fill="F7F9F5"/>
          </w:tcPr>
          <w:p>
            <w:pPr>
              <w:spacing w:after="40"/>
            </w:pPr>
            <w:r/>
            <w:r>
              <w:rPr>
                <w:rFonts w:ascii="Aptos" w:hAnsi="Aptos"/>
                <w:b w:val="0"/>
                <w:color w:val="172033"/>
                <w:sz w:val="17"/>
              </w:rPr>
              <w:t>Corporate buyer</w:t>
            </w:r>
          </w:p>
        </w:tc>
        <w:tc>
          <w:tcPr>
            <w:tcW w:type="dxa" w:w="2033"/>
            <w:vAlign w:val="center"/>
            <w:shd w:fill="F7F9F5"/>
          </w:tcPr>
          <w:p>
            <w:pPr>
              <w:spacing w:after="40"/>
            </w:pPr>
            <w:r/>
            <w:r>
              <w:rPr>
                <w:rFonts w:ascii="Aptos" w:hAnsi="Aptos"/>
                <w:b w:val="0"/>
                <w:color w:val="172033"/>
                <w:sz w:val="17"/>
              </w:rPr>
              <w:t>Buyer chooses PO route</w:t>
            </w:r>
          </w:p>
        </w:tc>
        <w:tc>
          <w:tcPr>
            <w:tcW w:type="dxa" w:w="2033"/>
            <w:vAlign w:val="center"/>
            <w:shd w:fill="F7F9F5"/>
          </w:tcPr>
          <w:p>
            <w:pPr>
              <w:spacing w:after="40"/>
            </w:pPr>
            <w:r/>
            <w:r>
              <w:rPr>
                <w:rFonts w:ascii="Aptos" w:hAnsi="Aptos"/>
                <w:b w:val="0"/>
                <w:color w:val="172033"/>
                <w:sz w:val="17"/>
              </w:rPr>
              <w:t>Upload and admin creation paths present</w:t>
            </w:r>
          </w:p>
        </w:tc>
      </w:tr>
      <w:tr>
        <w:tc>
          <w:tcPr>
            <w:tcW w:type="dxa" w:w="2033"/>
            <w:vAlign w:val="center"/>
          </w:tcPr>
          <w:p>
            <w:pPr>
              <w:spacing w:after="40"/>
            </w:pPr>
            <w:r/>
            <w:r>
              <w:rPr>
                <w:rFonts w:ascii="Aptos" w:hAnsi="Aptos"/>
                <w:b w:val="0"/>
                <w:color w:val="172033"/>
                <w:sz w:val="17"/>
              </w:rPr>
              <w:t>Receipt voucher</w:t>
            </w:r>
          </w:p>
        </w:tc>
        <w:tc>
          <w:tcPr>
            <w:tcW w:type="dxa" w:w="2033"/>
            <w:vAlign w:val="center"/>
          </w:tcPr>
          <w:p>
            <w:pPr>
              <w:spacing w:after="40"/>
            </w:pPr>
            <w:r/>
            <w:r>
              <w:rPr>
                <w:rFonts w:ascii="Aptos" w:hAnsi="Aptos"/>
                <w:b w:val="0"/>
                <w:color w:val="172033"/>
                <w:sz w:val="17"/>
              </w:rPr>
              <w:t>Evidence of advance/payment received</w:t>
            </w:r>
          </w:p>
        </w:tc>
        <w:tc>
          <w:tcPr>
            <w:tcW w:type="dxa" w:w="2033"/>
            <w:vAlign w:val="center"/>
          </w:tcPr>
          <w:p>
            <w:pPr>
              <w:spacing w:after="40"/>
            </w:pPr>
            <w:r/>
            <w:r>
              <w:rPr>
                <w:rFonts w:ascii="Aptos" w:hAnsi="Aptos"/>
                <w:b w:val="0"/>
                <w:color w:val="172033"/>
                <w:sz w:val="17"/>
              </w:rPr>
              <w:t>Renivet</w:t>
            </w:r>
          </w:p>
        </w:tc>
        <w:tc>
          <w:tcPr>
            <w:tcW w:type="dxa" w:w="2033"/>
            <w:vAlign w:val="center"/>
          </w:tcPr>
          <w:p>
            <w:pPr>
              <w:spacing w:after="40"/>
            </w:pPr>
            <w:r/>
            <w:r>
              <w:rPr>
                <w:rFonts w:ascii="Aptos" w:hAnsi="Aptos"/>
                <w:b w:val="0"/>
                <w:color w:val="172033"/>
                <w:sz w:val="17"/>
              </w:rPr>
              <w:t>Payment confirmation</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Vendor purchase order</w:t>
            </w:r>
          </w:p>
        </w:tc>
        <w:tc>
          <w:tcPr>
            <w:tcW w:type="dxa" w:w="2033"/>
            <w:vAlign w:val="center"/>
            <w:shd w:fill="F7F9F5"/>
          </w:tcPr>
          <w:p>
            <w:pPr>
              <w:spacing w:after="40"/>
            </w:pPr>
            <w:r/>
            <w:r>
              <w:rPr>
                <w:rFonts w:ascii="Aptos" w:hAnsi="Aptos"/>
                <w:b w:val="0"/>
                <w:color w:val="172033"/>
                <w:sz w:val="17"/>
              </w:rPr>
              <w:t>Instruction to supplier brand</w:t>
            </w:r>
          </w:p>
        </w:tc>
        <w:tc>
          <w:tcPr>
            <w:tcW w:type="dxa" w:w="2033"/>
            <w:vAlign w:val="center"/>
            <w:shd w:fill="F7F9F5"/>
          </w:tcPr>
          <w:p>
            <w:pPr>
              <w:spacing w:after="40"/>
            </w:pPr>
            <w:r/>
            <w:r>
              <w:rPr>
                <w:rFonts w:ascii="Aptos" w:hAnsi="Aptos"/>
                <w:b w:val="0"/>
                <w:color w:val="172033"/>
                <w:sz w:val="17"/>
              </w:rPr>
              <w:t>Renivet</w:t>
            </w:r>
          </w:p>
        </w:tc>
        <w:tc>
          <w:tcPr>
            <w:tcW w:type="dxa" w:w="2033"/>
            <w:vAlign w:val="center"/>
            <w:shd w:fill="F7F9F5"/>
          </w:tcPr>
          <w:p>
            <w:pPr>
              <w:spacing w:after="40"/>
            </w:pPr>
            <w:r/>
            <w:r>
              <w:rPr>
                <w:rFonts w:ascii="Aptos" w:hAnsi="Aptos"/>
                <w:b w:val="0"/>
                <w:color w:val="172033"/>
                <w:sz w:val="17"/>
              </w:rPr>
              <w:t>Order release and supplier details</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Brand tax invoice</w:t>
            </w:r>
          </w:p>
        </w:tc>
        <w:tc>
          <w:tcPr>
            <w:tcW w:type="dxa" w:w="2033"/>
            <w:vAlign w:val="center"/>
          </w:tcPr>
          <w:p>
            <w:pPr>
              <w:spacing w:after="40"/>
            </w:pPr>
            <w:r/>
            <w:r>
              <w:rPr>
                <w:rFonts w:ascii="Aptos" w:hAnsi="Aptos"/>
                <w:b w:val="0"/>
                <w:color w:val="172033"/>
                <w:sz w:val="17"/>
              </w:rPr>
              <w:t>Supplier invoice into Renivet process</w:t>
            </w:r>
          </w:p>
        </w:tc>
        <w:tc>
          <w:tcPr>
            <w:tcW w:type="dxa" w:w="2033"/>
            <w:vAlign w:val="center"/>
          </w:tcPr>
          <w:p>
            <w:pPr>
              <w:spacing w:after="40"/>
            </w:pPr>
            <w:r/>
            <w:r>
              <w:rPr>
                <w:rFonts w:ascii="Aptos" w:hAnsi="Aptos"/>
                <w:b w:val="0"/>
                <w:color w:val="172033"/>
                <w:sz w:val="17"/>
              </w:rPr>
              <w:t>Supplier brand</w:t>
            </w:r>
          </w:p>
        </w:tc>
        <w:tc>
          <w:tcPr>
            <w:tcW w:type="dxa" w:w="2033"/>
            <w:vAlign w:val="center"/>
          </w:tcPr>
          <w:p>
            <w:pPr>
              <w:spacing w:after="40"/>
            </w:pPr>
            <w:r/>
            <w:r>
              <w:rPr>
                <w:rFonts w:ascii="Aptos" w:hAnsi="Aptos"/>
                <w:b w:val="0"/>
                <w:color w:val="172033"/>
                <w:sz w:val="17"/>
              </w:rPr>
              <w:t>Supplier fulfilment and invoice upload</w:t>
            </w:r>
          </w:p>
        </w:tc>
        <w:tc>
          <w:tcPr>
            <w:tcW w:type="dxa" w:w="2033"/>
            <w:vAlign w:val="center"/>
          </w:tcPr>
          <w:p>
            <w:pPr>
              <w:spacing w:after="40"/>
            </w:pPr>
            <w:r/>
            <w:r>
              <w:rPr>
                <w:rFonts w:ascii="Aptos" w:hAnsi="Aptos"/>
                <w:b w:val="0"/>
                <w:color w:val="172033"/>
                <w:sz w:val="17"/>
              </w:rPr>
              <w:t>Review and validation form present</w:t>
            </w:r>
          </w:p>
        </w:tc>
      </w:tr>
      <w:tr>
        <w:tc>
          <w:tcPr>
            <w:tcW w:type="dxa" w:w="2033"/>
            <w:vAlign w:val="center"/>
            <w:shd w:fill="F7F9F5"/>
          </w:tcPr>
          <w:p>
            <w:pPr>
              <w:spacing w:after="40"/>
            </w:pPr>
            <w:r/>
            <w:r>
              <w:rPr>
                <w:rFonts w:ascii="Aptos" w:hAnsi="Aptos"/>
                <w:b w:val="0"/>
                <w:color w:val="172033"/>
                <w:sz w:val="17"/>
              </w:rPr>
              <w:t>Delivery challan</w:t>
            </w:r>
          </w:p>
        </w:tc>
        <w:tc>
          <w:tcPr>
            <w:tcW w:type="dxa" w:w="2033"/>
            <w:vAlign w:val="center"/>
            <w:shd w:fill="F7F9F5"/>
          </w:tcPr>
          <w:p>
            <w:pPr>
              <w:spacing w:after="40"/>
            </w:pPr>
            <w:r/>
            <w:r>
              <w:rPr>
                <w:rFonts w:ascii="Aptos" w:hAnsi="Aptos"/>
                <w:b w:val="0"/>
                <w:color w:val="172033"/>
                <w:sz w:val="17"/>
              </w:rPr>
              <w:t>Goods movement document for direct fulfilment</w:t>
            </w:r>
          </w:p>
        </w:tc>
        <w:tc>
          <w:tcPr>
            <w:tcW w:type="dxa" w:w="2033"/>
            <w:vAlign w:val="center"/>
            <w:shd w:fill="F7F9F5"/>
          </w:tcPr>
          <w:p>
            <w:pPr>
              <w:spacing w:after="40"/>
            </w:pPr>
            <w:r/>
            <w:r>
              <w:rPr>
                <w:rFonts w:ascii="Aptos" w:hAnsi="Aptos"/>
                <w:b w:val="0"/>
                <w:color w:val="172033"/>
                <w:sz w:val="17"/>
              </w:rPr>
              <w:t>Renivet / operations</w:t>
            </w:r>
          </w:p>
        </w:tc>
        <w:tc>
          <w:tcPr>
            <w:tcW w:type="dxa" w:w="2033"/>
            <w:vAlign w:val="center"/>
            <w:shd w:fill="F7F9F5"/>
          </w:tcPr>
          <w:p>
            <w:pPr>
              <w:spacing w:after="40"/>
            </w:pPr>
            <w:r/>
            <w:r>
              <w:rPr>
                <w:rFonts w:ascii="Aptos" w:hAnsi="Aptos"/>
                <w:b w:val="0"/>
                <w:color w:val="172033"/>
                <w:sz w:val="17"/>
              </w:rPr>
              <w:t>Dispatch route requires goods-movement document</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Customer tax invoice</w:t>
            </w:r>
          </w:p>
        </w:tc>
        <w:tc>
          <w:tcPr>
            <w:tcW w:type="dxa" w:w="2033"/>
            <w:vAlign w:val="center"/>
          </w:tcPr>
          <w:p>
            <w:pPr>
              <w:spacing w:after="40"/>
            </w:pPr>
            <w:r/>
            <w:r>
              <w:rPr>
                <w:rFonts w:ascii="Aptos" w:hAnsi="Aptos"/>
                <w:b w:val="0"/>
                <w:color w:val="172033"/>
                <w:sz w:val="17"/>
              </w:rPr>
              <w:t>Final customer tax invoice</w:t>
            </w:r>
          </w:p>
        </w:tc>
        <w:tc>
          <w:tcPr>
            <w:tcW w:type="dxa" w:w="2033"/>
            <w:vAlign w:val="center"/>
          </w:tcPr>
          <w:p>
            <w:pPr>
              <w:spacing w:after="40"/>
            </w:pPr>
            <w:r/>
            <w:r>
              <w:rPr>
                <w:rFonts w:ascii="Aptos" w:hAnsi="Aptos"/>
                <w:b w:val="0"/>
                <w:color w:val="172033"/>
                <w:sz w:val="17"/>
              </w:rPr>
              <w:t>Supplier brand or Renivet depending configured flow</w:t>
            </w:r>
          </w:p>
        </w:tc>
        <w:tc>
          <w:tcPr>
            <w:tcW w:type="dxa" w:w="2033"/>
            <w:vAlign w:val="center"/>
          </w:tcPr>
          <w:p>
            <w:pPr>
              <w:spacing w:after="40"/>
            </w:pPr>
            <w:r/>
            <w:r>
              <w:rPr>
                <w:rFonts w:ascii="Aptos" w:hAnsi="Aptos"/>
                <w:b w:val="0"/>
                <w:color w:val="172033"/>
                <w:sz w:val="17"/>
              </w:rPr>
              <w:t>Supply/invoice issuance condition</w:t>
            </w:r>
          </w:p>
        </w:tc>
        <w:tc>
          <w:tcPr>
            <w:tcW w:type="dxa" w:w="2033"/>
            <w:vAlign w:val="center"/>
          </w:tcPr>
          <w:p>
            <w:pPr>
              <w:spacing w:after="40"/>
            </w:pPr>
            <w:r/>
            <w:r>
              <w:rPr>
                <w:rFonts w:ascii="Aptos" w:hAnsi="Aptos"/>
                <w:b w:val="0"/>
                <w:color w:val="172033"/>
                <w:sz w:val="17"/>
              </w:rPr>
              <w:t>Paid-in-full and tax invoice previews available</w:t>
            </w:r>
          </w:p>
        </w:tc>
      </w:tr>
      <w:tr>
        <w:tc>
          <w:tcPr>
            <w:tcW w:type="dxa" w:w="2033"/>
            <w:vAlign w:val="center"/>
            <w:shd w:fill="F7F9F5"/>
          </w:tcPr>
          <w:p>
            <w:pPr>
              <w:spacing w:after="40"/>
            </w:pPr>
            <w:r/>
            <w:r>
              <w:rPr>
                <w:rFonts w:ascii="Aptos" w:hAnsi="Aptos"/>
                <w:b w:val="0"/>
                <w:color w:val="172033"/>
                <w:sz w:val="17"/>
              </w:rPr>
              <w:t>Settlement statement</w:t>
            </w:r>
          </w:p>
        </w:tc>
        <w:tc>
          <w:tcPr>
            <w:tcW w:type="dxa" w:w="2033"/>
            <w:vAlign w:val="center"/>
            <w:shd w:fill="F7F9F5"/>
          </w:tcPr>
          <w:p>
            <w:pPr>
              <w:spacing w:after="40"/>
            </w:pPr>
            <w:r/>
            <w:r>
              <w:rPr>
                <w:rFonts w:ascii="Aptos" w:hAnsi="Aptos"/>
                <w:b w:val="0"/>
                <w:color w:val="172033"/>
                <w:sz w:val="17"/>
              </w:rPr>
              <w:t>Supplier payout and deduction reconciliation</w:t>
            </w:r>
          </w:p>
        </w:tc>
        <w:tc>
          <w:tcPr>
            <w:tcW w:type="dxa" w:w="2033"/>
            <w:vAlign w:val="center"/>
            <w:shd w:fill="F7F9F5"/>
          </w:tcPr>
          <w:p>
            <w:pPr>
              <w:spacing w:after="40"/>
            </w:pPr>
            <w:r/>
            <w:r>
              <w:rPr>
                <w:rFonts w:ascii="Aptos" w:hAnsi="Aptos"/>
                <w:b w:val="0"/>
                <w:color w:val="172033"/>
                <w:sz w:val="17"/>
              </w:rPr>
              <w:t>Renivet finance</w:t>
            </w:r>
          </w:p>
        </w:tc>
        <w:tc>
          <w:tcPr>
            <w:tcW w:type="dxa" w:w="2033"/>
            <w:vAlign w:val="center"/>
            <w:shd w:fill="F7F9F5"/>
          </w:tcPr>
          <w:p>
            <w:pPr>
              <w:spacing w:after="40"/>
            </w:pPr>
            <w:r/>
            <w:r>
              <w:rPr>
                <w:rFonts w:ascii="Aptos" w:hAnsi="Aptos"/>
                <w:b w:val="0"/>
                <w:color w:val="172033"/>
                <w:sz w:val="17"/>
              </w:rPr>
              <w:t>Delivery/final billing and settlement checks</w:t>
            </w:r>
          </w:p>
        </w:tc>
        <w:tc>
          <w:tcPr>
            <w:tcW w:type="dxa" w:w="2033"/>
            <w:vAlign w:val="center"/>
            <w:shd w:fill="F7F9F5"/>
          </w:tcPr>
          <w:p>
            <w:pPr>
              <w:spacing w:after="40"/>
            </w:pPr>
            <w:r/>
            <w:r>
              <w:rPr>
                <w:rFonts w:ascii="Aptos" w:hAnsi="Aptos"/>
                <w:b w:val="0"/>
                <w:color w:val="172033"/>
                <w:sz w:val="17"/>
              </w:rPr>
              <w:t>Rendered preview available</w:t>
            </w:r>
          </w:p>
        </w:tc>
      </w:tr>
    </w:tbl>
    <w:p>
      <w:pPr>
        <w:spacing w:after="40"/>
      </w:pPr>
    </w:p>
    <w:p>
      <w:r>
        <w:br w:type="page"/>
      </w:r>
    </w:p>
    <w:p>
      <w:pPr>
        <w:pStyle w:val="Heading1"/>
        <w:keepNext/>
      </w:pPr>
      <w:r>
        <w:t>7 What is required for a production-ready corporate flow</w:t>
      </w:r>
    </w:p>
    <w:p>
      <w:pPr>
        <w:spacing w:after="120" w:line="269" w:lineRule="auto"/>
      </w:pPr>
      <w:r>
        <w:t>The current implementation is feature-rich, but a production-ready operating model requires explicit business rules and controls around the flow. The requirements below are the minimum set to make the journey predictable for buyers, operations, suppliers, and finance.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Priority</w:t>
            </w:r>
          </w:p>
        </w:tc>
        <w:tc>
          <w:tcPr>
            <w:tcW w:type="dxa" w:w="2541"/>
            <w:vAlign w:val="center"/>
            <w:shd w:fill="3F6045"/>
          </w:tcPr>
          <w:p>
            <w:pPr>
              <w:spacing w:after="40"/>
            </w:pPr>
            <w:r/>
            <w:r>
              <w:rPr>
                <w:rFonts w:ascii="Aptos" w:hAnsi="Aptos"/>
                <w:b/>
                <w:color w:val="FFFFFF"/>
                <w:sz w:val="17"/>
              </w:rPr>
              <w:t>Requirement</w:t>
            </w:r>
          </w:p>
        </w:tc>
        <w:tc>
          <w:tcPr>
            <w:tcW w:type="dxa" w:w="2541"/>
            <w:vAlign w:val="center"/>
            <w:shd w:fill="3F6045"/>
          </w:tcPr>
          <w:p>
            <w:pPr>
              <w:spacing w:after="40"/>
            </w:pPr>
            <w:r/>
            <w:r>
              <w:rPr>
                <w:rFonts w:ascii="Aptos" w:hAnsi="Aptos"/>
                <w:b/>
                <w:color w:val="FFFFFF"/>
                <w:sz w:val="17"/>
              </w:rPr>
              <w:t>Why it is required</w:t>
            </w:r>
          </w:p>
        </w:tc>
        <w:tc>
          <w:tcPr>
            <w:tcW w:type="dxa" w:w="2541"/>
            <w:vAlign w:val="center"/>
            <w:shd w:fill="3F6045"/>
          </w:tcPr>
          <w:p>
            <w:pPr>
              <w:spacing w:after="40"/>
            </w:pPr>
            <w:r/>
            <w:r>
              <w:rPr>
                <w:rFonts w:ascii="Aptos" w:hAnsi="Aptos"/>
                <w:b/>
                <w:color w:val="FFFFFF"/>
                <w:sz w:val="17"/>
              </w:rPr>
              <w:t>Acceptance signal</w:t>
            </w:r>
          </w:p>
        </w:tc>
      </w:tr>
      <w:tr>
        <w:tc>
          <w:tcPr>
            <w:tcW w:type="dxa" w:w="2541"/>
            <w:vAlign w:val="center"/>
          </w:tcPr>
          <w:p>
            <w:pPr>
              <w:spacing w:after="40"/>
            </w:pPr>
            <w:r/>
            <w:r>
              <w:rPr>
                <w:rFonts w:ascii="Aptos" w:hAnsi="Aptos"/>
                <w:b w:val="0"/>
                <w:color w:val="172033"/>
                <w:sz w:val="17"/>
              </w:rPr>
              <w:t>P0</w:t>
            </w:r>
          </w:p>
        </w:tc>
        <w:tc>
          <w:tcPr>
            <w:tcW w:type="dxa" w:w="2541"/>
            <w:vAlign w:val="center"/>
          </w:tcPr>
          <w:p>
            <w:pPr>
              <w:spacing w:after="40"/>
            </w:pPr>
            <w:r/>
            <w:r>
              <w:rPr>
                <w:rFonts w:ascii="Aptos" w:hAnsi="Aptos"/>
                <w:b w:val="0"/>
                <w:color w:val="172033"/>
                <w:sz w:val="17"/>
              </w:rPr>
              <w:t>Choose and declare the primary buyer journey</w:t>
            </w:r>
          </w:p>
        </w:tc>
        <w:tc>
          <w:tcPr>
            <w:tcW w:type="dxa" w:w="2541"/>
            <w:vAlign w:val="center"/>
          </w:tcPr>
          <w:p>
            <w:pPr>
              <w:spacing w:after="40"/>
            </w:pPr>
            <w:r/>
            <w:r>
              <w:rPr>
                <w:rFonts w:ascii="Aptos" w:hAnsi="Aptos"/>
                <w:b w:val="0"/>
                <w:color w:val="172033"/>
                <w:sz w:val="17"/>
              </w:rPr>
              <w:t>Two corporate experiences currently coexist.</w:t>
            </w:r>
          </w:p>
        </w:tc>
        <w:tc>
          <w:tcPr>
            <w:tcW w:type="dxa" w:w="2541"/>
            <w:vAlign w:val="center"/>
          </w:tcPr>
          <w:p>
            <w:pPr>
              <w:spacing w:after="40"/>
            </w:pPr>
            <w:r/>
            <w:r>
              <w:rPr>
                <w:rFonts w:ascii="Aptos" w:hAnsi="Aptos"/>
                <w:b w:val="0"/>
                <w:color w:val="172033"/>
                <w:sz w:val="17"/>
              </w:rPr>
              <w:t>Landing page clearly recommends RFQ or self-service based on use case.</w:t>
            </w:r>
          </w:p>
        </w:tc>
      </w:tr>
      <w:tr>
        <w:tc>
          <w:tcPr>
            <w:tcW w:type="dxa" w:w="2541"/>
            <w:vAlign w:val="center"/>
            <w:shd w:fill="F7F9F5"/>
          </w:tcPr>
          <w:p>
            <w:pPr>
              <w:spacing w:after="40"/>
            </w:pPr>
            <w:r/>
            <w:r>
              <w:rPr>
                <w:rFonts w:ascii="Aptos" w:hAnsi="Aptos"/>
                <w:b w:val="0"/>
                <w:color w:val="172033"/>
                <w:sz w:val="17"/>
              </w:rPr>
              <w:t>P0</w:t>
            </w:r>
          </w:p>
        </w:tc>
        <w:tc>
          <w:tcPr>
            <w:tcW w:type="dxa" w:w="2541"/>
            <w:vAlign w:val="center"/>
            <w:shd w:fill="F7F9F5"/>
          </w:tcPr>
          <w:p>
            <w:pPr>
              <w:spacing w:after="40"/>
            </w:pPr>
            <w:r/>
            <w:r>
              <w:rPr>
                <w:rFonts w:ascii="Aptos" w:hAnsi="Aptos"/>
                <w:b w:val="0"/>
                <w:color w:val="172033"/>
                <w:sz w:val="17"/>
              </w:rPr>
              <w:t>Define the order-release gate</w:t>
            </w:r>
          </w:p>
        </w:tc>
        <w:tc>
          <w:tcPr>
            <w:tcW w:type="dxa" w:w="2541"/>
            <w:vAlign w:val="center"/>
            <w:shd w:fill="F7F9F5"/>
          </w:tcPr>
          <w:p>
            <w:pPr>
              <w:spacing w:after="40"/>
            </w:pPr>
            <w:r/>
            <w:r>
              <w:rPr>
                <w:rFonts w:ascii="Aptos" w:hAnsi="Aptos"/>
                <w:b w:val="0"/>
                <w:color w:val="172033"/>
                <w:sz w:val="17"/>
              </w:rPr>
              <w:t>Prevents production before quote, PO/payment, and required data are approved.</w:t>
            </w:r>
          </w:p>
        </w:tc>
        <w:tc>
          <w:tcPr>
            <w:tcW w:type="dxa" w:w="2541"/>
            <w:vAlign w:val="center"/>
            <w:shd w:fill="F7F9F5"/>
          </w:tcPr>
          <w:p>
            <w:pPr>
              <w:spacing w:after="40"/>
            </w:pPr>
            <w:r/>
            <w:r>
              <w:rPr>
                <w:rFonts w:ascii="Aptos" w:hAnsi="Aptos"/>
                <w:b w:val="0"/>
                <w:color w:val="172033"/>
                <w:sz w:val="17"/>
              </w:rPr>
              <w:t>Every released order has an auditable commercial basis.</w:t>
            </w:r>
          </w:p>
        </w:tc>
      </w:tr>
      <w:tr>
        <w:tc>
          <w:tcPr>
            <w:tcW w:type="dxa" w:w="2541"/>
            <w:vAlign w:val="center"/>
          </w:tcPr>
          <w:p>
            <w:pPr>
              <w:spacing w:after="40"/>
            </w:pPr>
            <w:r/>
            <w:r>
              <w:rPr>
                <w:rFonts w:ascii="Aptos" w:hAnsi="Aptos"/>
                <w:b w:val="0"/>
                <w:color w:val="172033"/>
                <w:sz w:val="17"/>
              </w:rPr>
              <w:t>P0</w:t>
            </w:r>
          </w:p>
        </w:tc>
        <w:tc>
          <w:tcPr>
            <w:tcW w:type="dxa" w:w="2541"/>
            <w:vAlign w:val="center"/>
          </w:tcPr>
          <w:p>
            <w:pPr>
              <w:spacing w:after="40"/>
            </w:pPr>
            <w:r/>
            <w:r>
              <w:rPr>
                <w:rFonts w:ascii="Aptos" w:hAnsi="Aptos"/>
                <w:b w:val="0"/>
                <w:color w:val="172033"/>
                <w:sz w:val="17"/>
              </w:rPr>
              <w:t>Lock quote snapshot after approval</w:t>
            </w:r>
          </w:p>
        </w:tc>
        <w:tc>
          <w:tcPr>
            <w:tcW w:type="dxa" w:w="2541"/>
            <w:vAlign w:val="center"/>
          </w:tcPr>
          <w:p>
            <w:pPr>
              <w:spacing w:after="40"/>
            </w:pPr>
            <w:r/>
            <w:r>
              <w:rPr>
                <w:rFonts w:ascii="Aptos" w:hAnsi="Aptos"/>
                <w:b w:val="0"/>
                <w:color w:val="172033"/>
                <w:sz w:val="17"/>
              </w:rPr>
              <w:t>Protects price, tax, quantity, customization, delivery, and terms.</w:t>
            </w:r>
          </w:p>
        </w:tc>
        <w:tc>
          <w:tcPr>
            <w:tcW w:type="dxa" w:w="2541"/>
            <w:vAlign w:val="center"/>
          </w:tcPr>
          <w:p>
            <w:pPr>
              <w:spacing w:after="40"/>
            </w:pPr>
            <w:r/>
            <w:r>
              <w:rPr>
                <w:rFonts w:ascii="Aptos" w:hAnsi="Aptos"/>
                <w:b w:val="0"/>
                <w:color w:val="172033"/>
                <w:sz w:val="17"/>
              </w:rPr>
              <w:t>Order snapshot cannot silently diverge from approved quote.</w:t>
            </w:r>
          </w:p>
        </w:tc>
      </w:tr>
      <w:tr>
        <w:tc>
          <w:tcPr>
            <w:tcW w:type="dxa" w:w="2541"/>
            <w:vAlign w:val="center"/>
            <w:shd w:fill="F7F9F5"/>
          </w:tcPr>
          <w:p>
            <w:pPr>
              <w:spacing w:after="40"/>
            </w:pPr>
            <w:r/>
            <w:r>
              <w:rPr>
                <w:rFonts w:ascii="Aptos" w:hAnsi="Aptos"/>
                <w:b w:val="0"/>
                <w:color w:val="172033"/>
                <w:sz w:val="17"/>
              </w:rPr>
              <w:t>P0</w:t>
            </w:r>
          </w:p>
        </w:tc>
        <w:tc>
          <w:tcPr>
            <w:tcW w:type="dxa" w:w="2541"/>
            <w:vAlign w:val="center"/>
            <w:shd w:fill="F7F9F5"/>
          </w:tcPr>
          <w:p>
            <w:pPr>
              <w:spacing w:after="40"/>
            </w:pPr>
            <w:r/>
            <w:r>
              <w:rPr>
                <w:rFonts w:ascii="Aptos" w:hAnsi="Aptos"/>
                <w:b w:val="0"/>
                <w:color w:val="172033"/>
                <w:sz w:val="17"/>
              </w:rPr>
              <w:t>Enforce document prerequisites by state</w:t>
            </w:r>
          </w:p>
        </w:tc>
        <w:tc>
          <w:tcPr>
            <w:tcW w:type="dxa" w:w="2541"/>
            <w:vAlign w:val="center"/>
            <w:shd w:fill="F7F9F5"/>
          </w:tcPr>
          <w:p>
            <w:pPr>
              <w:spacing w:after="40"/>
            </w:pPr>
            <w:r/>
            <w:r>
              <w:rPr>
                <w:rFonts w:ascii="Aptos" w:hAnsi="Aptos"/>
                <w:b w:val="0"/>
                <w:color w:val="172033"/>
                <w:sz w:val="17"/>
              </w:rPr>
              <w:t>Prevents missing or premature proforma, receipt, PO, challan, tax invoice, and settlement records.</w:t>
            </w:r>
          </w:p>
        </w:tc>
        <w:tc>
          <w:tcPr>
            <w:tcW w:type="dxa" w:w="2541"/>
            <w:vAlign w:val="center"/>
            <w:shd w:fill="F7F9F5"/>
          </w:tcPr>
          <w:p>
            <w:pPr>
              <w:spacing w:after="40"/>
            </w:pPr>
            <w:r/>
            <w:r>
              <w:rPr>
                <w:rFonts w:ascii="Aptos" w:hAnsi="Aptos"/>
                <w:b w:val="0"/>
                <w:color w:val="172033"/>
                <w:sz w:val="17"/>
              </w:rPr>
              <w:t>Invalid document transitions are blocked with clear messages.</w:t>
            </w:r>
          </w:p>
        </w:tc>
      </w:tr>
      <w:tr>
        <w:tc>
          <w:tcPr>
            <w:tcW w:type="dxa" w:w="2541"/>
            <w:vAlign w:val="center"/>
          </w:tcPr>
          <w:p>
            <w:pPr>
              <w:spacing w:after="40"/>
            </w:pPr>
            <w:r/>
            <w:r>
              <w:rPr>
                <w:rFonts w:ascii="Aptos" w:hAnsi="Aptos"/>
                <w:b w:val="0"/>
                <w:color w:val="172033"/>
                <w:sz w:val="17"/>
              </w:rPr>
              <w:t>P0</w:t>
            </w:r>
          </w:p>
        </w:tc>
        <w:tc>
          <w:tcPr>
            <w:tcW w:type="dxa" w:w="2541"/>
            <w:vAlign w:val="center"/>
          </w:tcPr>
          <w:p>
            <w:pPr>
              <w:spacing w:after="40"/>
            </w:pPr>
            <w:r/>
            <w:r>
              <w:rPr>
                <w:rFonts w:ascii="Aptos" w:hAnsi="Aptos"/>
                <w:b w:val="0"/>
                <w:color w:val="172033"/>
                <w:sz w:val="17"/>
              </w:rPr>
              <w:t>Complete role and permission matrix</w:t>
            </w:r>
          </w:p>
        </w:tc>
        <w:tc>
          <w:tcPr>
            <w:tcW w:type="dxa" w:w="2541"/>
            <w:vAlign w:val="center"/>
          </w:tcPr>
          <w:p>
            <w:pPr>
              <w:spacing w:after="40"/>
            </w:pPr>
            <w:r/>
            <w:r>
              <w:rPr>
                <w:rFonts w:ascii="Aptos" w:hAnsi="Aptos"/>
                <w:b w:val="0"/>
                <w:color w:val="172033"/>
                <w:sz w:val="17"/>
              </w:rPr>
              <w:t>Buyer, admin, finance, operations, and brand actions must be separated.</w:t>
            </w:r>
          </w:p>
        </w:tc>
        <w:tc>
          <w:tcPr>
            <w:tcW w:type="dxa" w:w="2541"/>
            <w:vAlign w:val="center"/>
          </w:tcPr>
          <w:p>
            <w:pPr>
              <w:spacing w:after="40"/>
            </w:pPr>
            <w:r/>
            <w:r>
              <w:rPr>
                <w:rFonts w:ascii="Aptos" w:hAnsi="Aptos"/>
                <w:b w:val="0"/>
                <w:color w:val="172033"/>
                <w:sz w:val="17"/>
              </w:rPr>
              <w:t>Unauthorized download, edit, approval, or issuance is denied and audited.</w:t>
            </w:r>
          </w:p>
        </w:tc>
      </w:tr>
      <w:tr>
        <w:tc>
          <w:tcPr>
            <w:tcW w:type="dxa" w:w="2541"/>
            <w:vAlign w:val="center"/>
            <w:shd w:fill="F7F9F5"/>
          </w:tcPr>
          <w:p>
            <w:pPr>
              <w:spacing w:after="40"/>
            </w:pPr>
            <w:r/>
            <w:r>
              <w:rPr>
                <w:rFonts w:ascii="Aptos" w:hAnsi="Aptos"/>
                <w:b w:val="0"/>
                <w:color w:val="172033"/>
                <w:sz w:val="17"/>
              </w:rPr>
              <w:t>P1</w:t>
            </w:r>
          </w:p>
        </w:tc>
        <w:tc>
          <w:tcPr>
            <w:tcW w:type="dxa" w:w="2541"/>
            <w:vAlign w:val="center"/>
            <w:shd w:fill="F7F9F5"/>
          </w:tcPr>
          <w:p>
            <w:pPr>
              <w:spacing w:after="40"/>
            </w:pPr>
            <w:r/>
            <w:r>
              <w:rPr>
                <w:rFonts w:ascii="Aptos" w:hAnsi="Aptos"/>
                <w:b w:val="0"/>
                <w:color w:val="172033"/>
                <w:sz w:val="17"/>
              </w:rPr>
              <w:t>Create finance reconciliation runbook</w:t>
            </w:r>
          </w:p>
        </w:tc>
        <w:tc>
          <w:tcPr>
            <w:tcW w:type="dxa" w:w="2541"/>
            <w:vAlign w:val="center"/>
            <w:shd w:fill="F7F9F5"/>
          </w:tcPr>
          <w:p>
            <w:pPr>
              <w:spacing w:after="40"/>
            </w:pPr>
            <w:r/>
            <w:r>
              <w:rPr>
                <w:rFonts w:ascii="Aptos" w:hAnsi="Aptos"/>
                <w:b w:val="0"/>
                <w:color w:val="172033"/>
                <w:sz w:val="17"/>
              </w:rPr>
              <w:t>Payment provider events, receipt vouchers, balance payments, refunds, and settlements need operational ownership.</w:t>
            </w:r>
          </w:p>
        </w:tc>
        <w:tc>
          <w:tcPr>
            <w:tcW w:type="dxa" w:w="2541"/>
            <w:vAlign w:val="center"/>
            <w:shd w:fill="F7F9F5"/>
          </w:tcPr>
          <w:p>
            <w:pPr>
              <w:spacing w:after="40"/>
            </w:pPr>
            <w:r/>
            <w:r>
              <w:rPr>
                <w:rFonts w:ascii="Aptos" w:hAnsi="Aptos"/>
                <w:b w:val="0"/>
                <w:color w:val="172033"/>
                <w:sz w:val="17"/>
              </w:rPr>
              <w:t>Finance can reconcile every payment to order, customer, and document.</w:t>
            </w:r>
          </w:p>
        </w:tc>
      </w:tr>
      <w:tr>
        <w:tc>
          <w:tcPr>
            <w:tcW w:type="dxa" w:w="2541"/>
            <w:vAlign w:val="center"/>
          </w:tcPr>
          <w:p>
            <w:pPr>
              <w:spacing w:after="40"/>
            </w:pPr>
            <w:r/>
            <w:r>
              <w:rPr>
                <w:rFonts w:ascii="Aptos" w:hAnsi="Aptos"/>
                <w:b w:val="0"/>
                <w:color w:val="172033"/>
                <w:sz w:val="17"/>
              </w:rPr>
              <w:t>P1</w:t>
            </w:r>
          </w:p>
        </w:tc>
        <w:tc>
          <w:tcPr>
            <w:tcW w:type="dxa" w:w="2541"/>
            <w:vAlign w:val="center"/>
          </w:tcPr>
          <w:p>
            <w:pPr>
              <w:spacing w:after="40"/>
            </w:pPr>
            <w:r/>
            <w:r>
              <w:rPr>
                <w:rFonts w:ascii="Aptos" w:hAnsi="Aptos"/>
                <w:b w:val="0"/>
                <w:color w:val="172033"/>
                <w:sz w:val="17"/>
              </w:rPr>
              <w:t>Define tax and place-of-supply rules</w:t>
            </w:r>
          </w:p>
        </w:tc>
        <w:tc>
          <w:tcPr>
            <w:tcW w:type="dxa" w:w="2541"/>
            <w:vAlign w:val="center"/>
          </w:tcPr>
          <w:p>
            <w:pPr>
              <w:spacing w:after="40"/>
            </w:pPr>
            <w:r/>
            <w:r>
              <w:rPr>
                <w:rFonts w:ascii="Aptos" w:hAnsi="Aptos"/>
                <w:b w:val="0"/>
                <w:color w:val="172033"/>
                <w:sz w:val="17"/>
              </w:rPr>
              <w:t>Corporate invoices include GST, HSN, CGST/SGST/IGST, GSTIN, and state logic.</w:t>
            </w:r>
          </w:p>
        </w:tc>
        <w:tc>
          <w:tcPr>
            <w:tcW w:type="dxa" w:w="2541"/>
            <w:vAlign w:val="center"/>
          </w:tcPr>
          <w:p>
            <w:pPr>
              <w:spacing w:after="40"/>
            </w:pPr>
            <w:r/>
            <w:r>
              <w:rPr>
                <w:rFonts w:ascii="Aptos" w:hAnsi="Aptos"/>
                <w:b w:val="0"/>
                <w:color w:val="172033"/>
                <w:sz w:val="17"/>
              </w:rPr>
              <w:t>Valid tax output is generated for intra-state and inter-state cases.</w:t>
            </w:r>
          </w:p>
        </w:tc>
      </w:tr>
      <w:tr>
        <w:tc>
          <w:tcPr>
            <w:tcW w:type="dxa" w:w="2541"/>
            <w:vAlign w:val="center"/>
            <w:shd w:fill="F7F9F5"/>
          </w:tcPr>
          <w:p>
            <w:pPr>
              <w:spacing w:after="40"/>
            </w:pPr>
            <w:r/>
            <w:r>
              <w:rPr>
                <w:rFonts w:ascii="Aptos" w:hAnsi="Aptos"/>
                <w:b w:val="0"/>
                <w:color w:val="172033"/>
                <w:sz w:val="17"/>
              </w:rPr>
              <w:t>P1</w:t>
            </w:r>
          </w:p>
        </w:tc>
        <w:tc>
          <w:tcPr>
            <w:tcW w:type="dxa" w:w="2541"/>
            <w:vAlign w:val="center"/>
            <w:shd w:fill="F7F9F5"/>
          </w:tcPr>
          <w:p>
            <w:pPr>
              <w:spacing w:after="40"/>
            </w:pPr>
            <w:r/>
            <w:r>
              <w:rPr>
                <w:rFonts w:ascii="Aptos" w:hAnsi="Aptos"/>
                <w:b w:val="0"/>
                <w:color w:val="172033"/>
                <w:sz w:val="17"/>
              </w:rPr>
              <w:t>Define notification matrix</w:t>
            </w:r>
          </w:p>
        </w:tc>
        <w:tc>
          <w:tcPr>
            <w:tcW w:type="dxa" w:w="2541"/>
            <w:vAlign w:val="center"/>
            <w:shd w:fill="F7F9F5"/>
          </w:tcPr>
          <w:p>
            <w:pPr>
              <w:spacing w:after="40"/>
            </w:pPr>
            <w:r/>
            <w:r>
              <w:rPr>
                <w:rFonts w:ascii="Aptos" w:hAnsi="Aptos"/>
                <w:b w:val="0"/>
                <w:color w:val="172033"/>
                <w:sz w:val="17"/>
              </w:rPr>
              <w:t>Buyers and internal teams need predictable updates at RFQ, quote, payment, QC, dispatch, delivery, and invoice events.</w:t>
            </w:r>
          </w:p>
        </w:tc>
        <w:tc>
          <w:tcPr>
            <w:tcW w:type="dxa" w:w="2541"/>
            <w:vAlign w:val="center"/>
            <w:shd w:fill="F7F9F5"/>
          </w:tcPr>
          <w:p>
            <w:pPr>
              <w:spacing w:after="40"/>
            </w:pPr>
            <w:r/>
            <w:r>
              <w:rPr>
                <w:rFonts w:ascii="Aptos" w:hAnsi="Aptos"/>
                <w:b w:val="0"/>
                <w:color w:val="172033"/>
                <w:sz w:val="17"/>
              </w:rPr>
              <w:t>Each state has an owner, channel, template, retry, and audit record.</w:t>
            </w:r>
          </w:p>
        </w:tc>
      </w:tr>
      <w:tr>
        <w:tc>
          <w:tcPr>
            <w:tcW w:type="dxa" w:w="2541"/>
            <w:vAlign w:val="center"/>
          </w:tcPr>
          <w:p>
            <w:pPr>
              <w:spacing w:after="40"/>
            </w:pPr>
            <w:r/>
            <w:r>
              <w:rPr>
                <w:rFonts w:ascii="Aptos" w:hAnsi="Aptos"/>
                <w:b w:val="0"/>
                <w:color w:val="172033"/>
                <w:sz w:val="17"/>
              </w:rPr>
              <w:t>P1</w:t>
            </w:r>
          </w:p>
        </w:tc>
        <w:tc>
          <w:tcPr>
            <w:tcW w:type="dxa" w:w="2541"/>
            <w:vAlign w:val="center"/>
          </w:tcPr>
          <w:p>
            <w:pPr>
              <w:spacing w:after="40"/>
            </w:pPr>
            <w:r/>
            <w:r>
              <w:rPr>
                <w:rFonts w:ascii="Aptos" w:hAnsi="Aptos"/>
                <w:b w:val="0"/>
                <w:color w:val="172033"/>
                <w:sz w:val="17"/>
              </w:rPr>
              <w:t>Add exception handling for revisions/cancellations/replacements</w:t>
            </w:r>
          </w:p>
        </w:tc>
        <w:tc>
          <w:tcPr>
            <w:tcW w:type="dxa" w:w="2541"/>
            <w:vAlign w:val="center"/>
          </w:tcPr>
          <w:p>
            <w:pPr>
              <w:spacing w:after="40"/>
            </w:pPr>
            <w:r/>
            <w:r>
              <w:rPr>
                <w:rFonts w:ascii="Aptos" w:hAnsi="Aptos"/>
                <w:b w:val="0"/>
                <w:color w:val="172033"/>
                <w:sz w:val="17"/>
              </w:rPr>
              <w:t>Real orders change after approval or production.</w:t>
            </w:r>
          </w:p>
        </w:tc>
        <w:tc>
          <w:tcPr>
            <w:tcW w:type="dxa" w:w="2541"/>
            <w:vAlign w:val="center"/>
          </w:tcPr>
          <w:p>
            <w:pPr>
              <w:spacing w:after="40"/>
            </w:pPr>
            <w:r/>
            <w:r>
              <w:rPr>
                <w:rFonts w:ascii="Aptos" w:hAnsi="Aptos"/>
                <w:b w:val="0"/>
                <w:color w:val="172033"/>
                <w:sz w:val="17"/>
              </w:rPr>
              <w:t>Every exception has eligibility, approval, financial adjustment, and audit trail.</w:t>
            </w:r>
          </w:p>
        </w:tc>
      </w:tr>
      <w:tr>
        <w:tc>
          <w:tcPr>
            <w:tcW w:type="dxa" w:w="2541"/>
            <w:vAlign w:val="center"/>
            <w:shd w:fill="F7F9F5"/>
          </w:tcPr>
          <w:p>
            <w:pPr>
              <w:spacing w:after="40"/>
            </w:pPr>
            <w:r/>
            <w:r>
              <w:rPr>
                <w:rFonts w:ascii="Aptos" w:hAnsi="Aptos"/>
                <w:b w:val="0"/>
                <w:color w:val="172033"/>
                <w:sz w:val="17"/>
              </w:rPr>
              <w:t>P2</w:t>
            </w:r>
          </w:p>
        </w:tc>
        <w:tc>
          <w:tcPr>
            <w:tcW w:type="dxa" w:w="2541"/>
            <w:vAlign w:val="center"/>
            <w:shd w:fill="F7F9F5"/>
          </w:tcPr>
          <w:p>
            <w:pPr>
              <w:spacing w:after="40"/>
            </w:pPr>
            <w:r/>
            <w:r>
              <w:rPr>
                <w:rFonts w:ascii="Aptos" w:hAnsi="Aptos"/>
                <w:b w:val="0"/>
                <w:color w:val="172033"/>
                <w:sz w:val="17"/>
              </w:rPr>
              <w:t>Add reporting and SLA metrics</w:t>
            </w:r>
          </w:p>
        </w:tc>
        <w:tc>
          <w:tcPr>
            <w:tcW w:type="dxa" w:w="2541"/>
            <w:vAlign w:val="center"/>
            <w:shd w:fill="F7F9F5"/>
          </w:tcPr>
          <w:p>
            <w:pPr>
              <w:spacing w:after="40"/>
            </w:pPr>
            <w:r/>
            <w:r>
              <w:rPr>
                <w:rFonts w:ascii="Aptos" w:hAnsi="Aptos"/>
                <w:b w:val="0"/>
                <w:color w:val="172033"/>
                <w:sz w:val="17"/>
              </w:rPr>
              <w:t>Operations need visibility into quote aging, production aging, payment aging, and fulfilment aging.</w:t>
            </w:r>
          </w:p>
        </w:tc>
        <w:tc>
          <w:tcPr>
            <w:tcW w:type="dxa" w:w="2541"/>
            <w:vAlign w:val="center"/>
            <w:shd w:fill="F7F9F5"/>
          </w:tcPr>
          <w:p>
            <w:pPr>
              <w:spacing w:after="40"/>
            </w:pPr>
            <w:r/>
            <w:r>
              <w:rPr>
                <w:rFonts w:ascii="Aptos" w:hAnsi="Aptos"/>
                <w:b w:val="0"/>
                <w:color w:val="172033"/>
                <w:sz w:val="17"/>
              </w:rPr>
              <w:t>Admin reports show open work by owner and due date.</w:t>
            </w:r>
          </w:p>
        </w:tc>
      </w:tr>
    </w:tbl>
    <w:p>
      <w:pPr>
        <w:spacing w:after="40"/>
      </w:pPr>
    </w:p>
    <w:p>
      <w:pPr>
        <w:pStyle w:val="Heading1"/>
        <w:keepNext/>
      </w:pPr>
      <w:r>
        <w:t>8 Gap assessment</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Gap</w:t>
            </w:r>
          </w:p>
        </w:tc>
        <w:tc>
          <w:tcPr>
            <w:tcW w:type="dxa" w:w="2541"/>
            <w:vAlign w:val="center"/>
            <w:shd w:fill="3F6045"/>
          </w:tcPr>
          <w:p>
            <w:pPr>
              <w:spacing w:after="40"/>
            </w:pPr>
            <w:r/>
            <w:r>
              <w:rPr>
                <w:rFonts w:ascii="Aptos" w:hAnsi="Aptos"/>
                <w:b/>
                <w:color w:val="FFFFFF"/>
                <w:sz w:val="17"/>
              </w:rPr>
              <w:t>Observed current state</w:t>
            </w:r>
          </w:p>
        </w:tc>
        <w:tc>
          <w:tcPr>
            <w:tcW w:type="dxa" w:w="2541"/>
            <w:vAlign w:val="center"/>
            <w:shd w:fill="3F6045"/>
          </w:tcPr>
          <w:p>
            <w:pPr>
              <w:spacing w:after="40"/>
            </w:pPr>
            <w:r/>
            <w:r>
              <w:rPr>
                <w:rFonts w:ascii="Aptos" w:hAnsi="Aptos"/>
                <w:b/>
                <w:color w:val="FFFFFF"/>
                <w:sz w:val="17"/>
              </w:rPr>
              <w:t>Impact</w:t>
            </w:r>
          </w:p>
        </w:tc>
        <w:tc>
          <w:tcPr>
            <w:tcW w:type="dxa" w:w="2541"/>
            <w:vAlign w:val="center"/>
            <w:shd w:fill="3F6045"/>
          </w:tcPr>
          <w:p>
            <w:pPr>
              <w:spacing w:after="40"/>
            </w:pPr>
            <w:r/>
            <w:r>
              <w:rPr>
                <w:rFonts w:ascii="Aptos" w:hAnsi="Aptos"/>
                <w:b/>
                <w:color w:val="FFFFFF"/>
                <w:sz w:val="17"/>
              </w:rPr>
              <w:t>Recommended next action</w:t>
            </w:r>
          </w:p>
        </w:tc>
      </w:tr>
      <w:tr>
        <w:tc>
          <w:tcPr>
            <w:tcW w:type="dxa" w:w="2541"/>
            <w:vAlign w:val="center"/>
          </w:tcPr>
          <w:p>
            <w:pPr>
              <w:spacing w:after="40"/>
            </w:pPr>
            <w:r/>
            <w:r>
              <w:rPr>
                <w:rFonts w:ascii="Aptos" w:hAnsi="Aptos"/>
                <w:b w:val="0"/>
                <w:color w:val="172033"/>
                <w:sz w:val="17"/>
              </w:rPr>
              <w:t>Journey overlap</w:t>
            </w:r>
          </w:p>
        </w:tc>
        <w:tc>
          <w:tcPr>
            <w:tcW w:type="dxa" w:w="2541"/>
            <w:vAlign w:val="center"/>
          </w:tcPr>
          <w:p>
            <w:pPr>
              <w:spacing w:after="40"/>
            </w:pPr>
            <w:r/>
            <w:r>
              <w:rPr>
                <w:rFonts w:ascii="Aptos" w:hAnsi="Aptos"/>
                <w:b w:val="0"/>
                <w:color w:val="172033"/>
                <w:sz w:val="17"/>
              </w:rPr>
              <w:t>Landing surface exposes both newer procurement and legacy self-service.</w:t>
            </w:r>
          </w:p>
        </w:tc>
        <w:tc>
          <w:tcPr>
            <w:tcW w:type="dxa" w:w="2541"/>
            <w:vAlign w:val="center"/>
          </w:tcPr>
          <w:p>
            <w:pPr>
              <w:spacing w:after="40"/>
            </w:pPr>
            <w:r/>
            <w:r>
              <w:rPr>
                <w:rFonts w:ascii="Aptos" w:hAnsi="Aptos"/>
                <w:b w:val="0"/>
                <w:color w:val="172033"/>
                <w:sz w:val="17"/>
              </w:rPr>
              <w:t>Buyer uncertainty and inconsistent data capture.</w:t>
            </w:r>
          </w:p>
        </w:tc>
        <w:tc>
          <w:tcPr>
            <w:tcW w:type="dxa" w:w="2541"/>
            <w:vAlign w:val="center"/>
          </w:tcPr>
          <w:p>
            <w:pPr>
              <w:spacing w:after="40"/>
            </w:pPr>
            <w:r/>
            <w:r>
              <w:rPr>
                <w:rFonts w:ascii="Aptos" w:hAnsi="Aptos"/>
                <w:b w:val="0"/>
                <w:color w:val="172033"/>
                <w:sz w:val="17"/>
              </w:rPr>
              <w:t>Set decision rules and label legacy flow as self-service where appropriate.</w:t>
            </w:r>
          </w:p>
        </w:tc>
      </w:tr>
      <w:tr>
        <w:tc>
          <w:tcPr>
            <w:tcW w:type="dxa" w:w="2541"/>
            <w:vAlign w:val="center"/>
            <w:shd w:fill="F7F9F5"/>
          </w:tcPr>
          <w:p>
            <w:pPr>
              <w:spacing w:after="40"/>
            </w:pPr>
            <w:r/>
            <w:r>
              <w:rPr>
                <w:rFonts w:ascii="Aptos" w:hAnsi="Aptos"/>
                <w:b w:val="0"/>
                <w:color w:val="172033"/>
                <w:sz w:val="17"/>
              </w:rPr>
              <w:t>UI evidence and QA</w:t>
            </w:r>
          </w:p>
        </w:tc>
        <w:tc>
          <w:tcPr>
            <w:tcW w:type="dxa" w:w="2541"/>
            <w:vAlign w:val="center"/>
            <w:shd w:fill="F7F9F5"/>
          </w:tcPr>
          <w:p>
            <w:pPr>
              <w:spacing w:after="40"/>
            </w:pPr>
            <w:r/>
            <w:r>
              <w:rPr>
                <w:rFonts w:ascii="Aptos" w:hAnsi="Aptos"/>
                <w:b w:val="0"/>
                <w:color w:val="172033"/>
                <w:sz w:val="17"/>
              </w:rPr>
              <w:t>Repository contains rendered document previews; live authenticated page screenshots are not part of the current evidence set.</w:t>
            </w:r>
          </w:p>
        </w:tc>
        <w:tc>
          <w:tcPr>
            <w:tcW w:type="dxa" w:w="2541"/>
            <w:vAlign w:val="center"/>
            <w:shd w:fill="F7F9F5"/>
          </w:tcPr>
          <w:p>
            <w:pPr>
              <w:spacing w:after="40"/>
            </w:pPr>
            <w:r/>
            <w:r>
              <w:rPr>
                <w:rFonts w:ascii="Aptos" w:hAnsi="Aptos"/>
                <w:b w:val="0"/>
                <w:color w:val="172033"/>
                <w:sz w:val="17"/>
              </w:rPr>
              <w:t>Stakeholders cannot sign off all role-specific UI states from one artifact.</w:t>
            </w:r>
          </w:p>
        </w:tc>
        <w:tc>
          <w:tcPr>
            <w:tcW w:type="dxa" w:w="2541"/>
            <w:vAlign w:val="center"/>
            <w:shd w:fill="F7F9F5"/>
          </w:tcPr>
          <w:p>
            <w:pPr>
              <w:spacing w:after="40"/>
            </w:pPr>
            <w:r/>
            <w:r>
              <w:rPr>
                <w:rFonts w:ascii="Aptos" w:hAnsi="Aptos"/>
                <w:b w:val="0"/>
                <w:color w:val="172033"/>
                <w:sz w:val="17"/>
              </w:rPr>
              <w:t>Capture authenticated buyer, admin, finance, and brand screenshots in the release QA pack.</w:t>
            </w:r>
          </w:p>
        </w:tc>
      </w:tr>
      <w:tr>
        <w:tc>
          <w:tcPr>
            <w:tcW w:type="dxa" w:w="2541"/>
            <w:vAlign w:val="center"/>
          </w:tcPr>
          <w:p>
            <w:pPr>
              <w:spacing w:after="40"/>
            </w:pPr>
            <w:r/>
            <w:r>
              <w:rPr>
                <w:rFonts w:ascii="Aptos" w:hAnsi="Aptos"/>
                <w:b w:val="0"/>
                <w:color w:val="172033"/>
                <w:sz w:val="17"/>
              </w:rPr>
              <w:t>Document lifecycle</w:t>
            </w:r>
          </w:p>
        </w:tc>
        <w:tc>
          <w:tcPr>
            <w:tcW w:type="dxa" w:w="2541"/>
            <w:vAlign w:val="center"/>
          </w:tcPr>
          <w:p>
            <w:pPr>
              <w:spacing w:after="40"/>
            </w:pPr>
            <w:r/>
            <w:r>
              <w:rPr>
                <w:rFonts w:ascii="Aptos" w:hAnsi="Aptos"/>
                <w:b w:val="0"/>
                <w:color w:val="172033"/>
                <w:sz w:val="17"/>
              </w:rPr>
              <w:t>Document chain is broad and components expose issue/download actions.</w:t>
            </w:r>
          </w:p>
        </w:tc>
        <w:tc>
          <w:tcPr>
            <w:tcW w:type="dxa" w:w="2541"/>
            <w:vAlign w:val="center"/>
          </w:tcPr>
          <w:p>
            <w:pPr>
              <w:spacing w:after="40"/>
            </w:pPr>
            <w:r/>
            <w:r>
              <w:rPr>
                <w:rFonts w:ascii="Aptos" w:hAnsi="Aptos"/>
                <w:b w:val="0"/>
                <w:color w:val="172033"/>
                <w:sz w:val="17"/>
              </w:rPr>
              <w:t>Risk of premature, missing, or duplicated documents without a central state machine.</w:t>
            </w:r>
          </w:p>
        </w:tc>
        <w:tc>
          <w:tcPr>
            <w:tcW w:type="dxa" w:w="2541"/>
            <w:vAlign w:val="center"/>
          </w:tcPr>
          <w:p>
            <w:pPr>
              <w:spacing w:after="40"/>
            </w:pPr>
            <w:r/>
            <w:r>
              <w:rPr>
                <w:rFonts w:ascii="Aptos" w:hAnsi="Aptos"/>
                <w:b w:val="0"/>
                <w:color w:val="172033"/>
                <w:sz w:val="17"/>
              </w:rPr>
              <w:t>Map each document to state, owner, issuer, number sequence, and reversal policy.</w:t>
            </w:r>
          </w:p>
        </w:tc>
      </w:tr>
      <w:tr>
        <w:tc>
          <w:tcPr>
            <w:tcW w:type="dxa" w:w="2541"/>
            <w:vAlign w:val="center"/>
            <w:shd w:fill="F7F9F5"/>
          </w:tcPr>
          <w:p>
            <w:pPr>
              <w:spacing w:after="40"/>
            </w:pPr>
            <w:r/>
            <w:r>
              <w:rPr>
                <w:rFonts w:ascii="Aptos" w:hAnsi="Aptos"/>
                <w:b w:val="0"/>
                <w:color w:val="172033"/>
                <w:sz w:val="17"/>
              </w:rPr>
              <w:t>Finance edge cases</w:t>
            </w:r>
          </w:p>
        </w:tc>
        <w:tc>
          <w:tcPr>
            <w:tcW w:type="dxa" w:w="2541"/>
            <w:vAlign w:val="center"/>
            <w:shd w:fill="F7F9F5"/>
          </w:tcPr>
          <w:p>
            <w:pPr>
              <w:spacing w:after="40"/>
            </w:pPr>
            <w:r/>
            <w:r>
              <w:rPr>
                <w:rFonts w:ascii="Aptos" w:hAnsi="Aptos"/>
                <w:b w:val="0"/>
                <w:color w:val="172033"/>
                <w:sz w:val="17"/>
              </w:rPr>
              <w:t>Payment and settlement features exist.</w:t>
            </w:r>
          </w:p>
        </w:tc>
        <w:tc>
          <w:tcPr>
            <w:tcW w:type="dxa" w:w="2541"/>
            <w:vAlign w:val="center"/>
            <w:shd w:fill="F7F9F5"/>
          </w:tcPr>
          <w:p>
            <w:pPr>
              <w:spacing w:after="40"/>
            </w:pPr>
            <w:r/>
            <w:r>
              <w:rPr>
                <w:rFonts w:ascii="Aptos" w:hAnsi="Aptos"/>
                <w:b w:val="0"/>
                <w:color w:val="172033"/>
                <w:sz w:val="17"/>
              </w:rPr>
              <w:t>Failed, duplicate, partial, refunded, or unmatched payments may require manual intervention.</w:t>
            </w:r>
          </w:p>
        </w:tc>
        <w:tc>
          <w:tcPr>
            <w:tcW w:type="dxa" w:w="2541"/>
            <w:vAlign w:val="center"/>
            <w:shd w:fill="F7F9F5"/>
          </w:tcPr>
          <w:p>
            <w:pPr>
              <w:spacing w:after="40"/>
            </w:pPr>
            <w:r/>
            <w:r>
              <w:rPr>
                <w:rFonts w:ascii="Aptos" w:hAnsi="Aptos"/>
                <w:b w:val="0"/>
                <w:color w:val="172033"/>
                <w:sz w:val="17"/>
              </w:rPr>
              <w:t>Add reconciliation statuses and finance exception queue rules.</w:t>
            </w:r>
          </w:p>
        </w:tc>
      </w:tr>
      <w:tr>
        <w:tc>
          <w:tcPr>
            <w:tcW w:type="dxa" w:w="2541"/>
            <w:vAlign w:val="center"/>
          </w:tcPr>
          <w:p>
            <w:pPr>
              <w:spacing w:after="40"/>
            </w:pPr>
            <w:r/>
            <w:r>
              <w:rPr>
                <w:rFonts w:ascii="Aptos" w:hAnsi="Aptos"/>
                <w:b w:val="0"/>
                <w:color w:val="172033"/>
                <w:sz w:val="17"/>
              </w:rPr>
              <w:t>Tax identity completeness</w:t>
            </w:r>
          </w:p>
        </w:tc>
        <w:tc>
          <w:tcPr>
            <w:tcW w:type="dxa" w:w="2541"/>
            <w:vAlign w:val="center"/>
          </w:tcPr>
          <w:p>
            <w:pPr>
              <w:spacing w:after="40"/>
            </w:pPr>
            <w:r/>
            <w:r>
              <w:rPr>
                <w:rFonts w:ascii="Aptos" w:hAnsi="Aptos"/>
                <w:b w:val="0"/>
                <w:color w:val="172033"/>
                <w:sz w:val="17"/>
              </w:rPr>
              <w:t>Corporate tax data, GSTIN, place of supply, and supplier identity are represented.</w:t>
            </w:r>
          </w:p>
        </w:tc>
        <w:tc>
          <w:tcPr>
            <w:tcW w:type="dxa" w:w="2541"/>
            <w:vAlign w:val="center"/>
          </w:tcPr>
          <w:p>
            <w:pPr>
              <w:spacing w:after="40"/>
            </w:pPr>
            <w:r/>
            <w:r>
              <w:rPr>
                <w:rFonts w:ascii="Aptos" w:hAnsi="Aptos"/>
                <w:b w:val="0"/>
                <w:color w:val="172033"/>
                <w:sz w:val="17"/>
              </w:rPr>
              <w:t>Invalid or incomplete tax output can block billing.</w:t>
            </w:r>
          </w:p>
        </w:tc>
        <w:tc>
          <w:tcPr>
            <w:tcW w:type="dxa" w:w="2541"/>
            <w:vAlign w:val="center"/>
          </w:tcPr>
          <w:p>
            <w:pPr>
              <w:spacing w:after="40"/>
            </w:pPr>
            <w:r/>
            <w:r>
              <w:rPr>
                <w:rFonts w:ascii="Aptos" w:hAnsi="Aptos"/>
                <w:b w:val="0"/>
                <w:color w:val="172033"/>
                <w:sz w:val="17"/>
              </w:rPr>
              <w:t>Make identity completeness a hard gate before issue.</w:t>
            </w:r>
          </w:p>
        </w:tc>
      </w:tr>
      <w:tr>
        <w:tc>
          <w:tcPr>
            <w:tcW w:type="dxa" w:w="2541"/>
            <w:vAlign w:val="center"/>
            <w:shd w:fill="F7F9F5"/>
          </w:tcPr>
          <w:p>
            <w:pPr>
              <w:spacing w:after="40"/>
            </w:pPr>
            <w:r/>
            <w:r>
              <w:rPr>
                <w:rFonts w:ascii="Aptos" w:hAnsi="Aptos"/>
                <w:b w:val="0"/>
                <w:color w:val="172033"/>
                <w:sz w:val="17"/>
              </w:rPr>
              <w:t>Operational ownership</w:t>
            </w:r>
          </w:p>
        </w:tc>
        <w:tc>
          <w:tcPr>
            <w:tcW w:type="dxa" w:w="2541"/>
            <w:vAlign w:val="center"/>
            <w:shd w:fill="F7F9F5"/>
          </w:tcPr>
          <w:p>
            <w:pPr>
              <w:spacing w:after="40"/>
            </w:pPr>
            <w:r/>
            <w:r>
              <w:rPr>
                <w:rFonts w:ascii="Aptos" w:hAnsi="Aptos"/>
                <w:b w:val="0"/>
                <w:color w:val="172033"/>
                <w:sz w:val="17"/>
              </w:rPr>
              <w:t>Admin task center, QC, shipment, and status timeline exist.</w:t>
            </w:r>
          </w:p>
        </w:tc>
        <w:tc>
          <w:tcPr>
            <w:tcW w:type="dxa" w:w="2541"/>
            <w:vAlign w:val="center"/>
            <w:shd w:fill="F7F9F5"/>
          </w:tcPr>
          <w:p>
            <w:pPr>
              <w:spacing w:after="40"/>
            </w:pPr>
            <w:r/>
            <w:r>
              <w:rPr>
                <w:rFonts w:ascii="Aptos" w:hAnsi="Aptos"/>
                <w:b w:val="0"/>
                <w:color w:val="172033"/>
                <w:sz w:val="17"/>
              </w:rPr>
              <w:t>Work can stall if task ownership and SLA are not explicit.</w:t>
            </w:r>
          </w:p>
        </w:tc>
        <w:tc>
          <w:tcPr>
            <w:tcW w:type="dxa" w:w="2541"/>
            <w:vAlign w:val="center"/>
            <w:shd w:fill="F7F9F5"/>
          </w:tcPr>
          <w:p>
            <w:pPr>
              <w:spacing w:after="40"/>
            </w:pPr>
            <w:r/>
            <w:r>
              <w:rPr>
                <w:rFonts w:ascii="Aptos" w:hAnsi="Aptos"/>
                <w:b w:val="0"/>
                <w:color w:val="172033"/>
                <w:sz w:val="17"/>
              </w:rPr>
              <w:t>Require owner, due date, escalation, and completion evidence for operational tasks.</w:t>
            </w:r>
          </w:p>
        </w:tc>
      </w:tr>
    </w:tbl>
    <w:p>
      <w:pPr>
        <w:spacing w:after="40"/>
      </w:pPr>
    </w:p>
    <w:p>
      <w:r>
        <w:br w:type="page"/>
      </w:r>
    </w:p>
    <w:p>
      <w:pPr>
        <w:pStyle w:val="Heading1"/>
        <w:keepNext/>
      </w:pPr>
      <w:r>
        <w:t>9 Recommended target workflow</w:t>
      </w:r>
    </w:p>
    <w:p>
      <w:pPr>
        <w:spacing w:after="120" w:line="269" w:lineRule="auto"/>
      </w:pPr>
      <w:r>
        <w:t>The recommended operating model keeps the existing capabilities but presents them as one controlled lifecycle. The most important decision is to make the RFQ route the default for managed corporate procurement, while retaining self-service for repeatable configured apparel orders.</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Lifecycle state</w:t>
            </w:r>
          </w:p>
        </w:tc>
        <w:tc>
          <w:tcPr>
            <w:tcW w:type="dxa" w:w="2541"/>
            <w:vAlign w:val="center"/>
            <w:shd w:fill="3F6045"/>
          </w:tcPr>
          <w:p>
            <w:pPr>
              <w:spacing w:after="40"/>
            </w:pPr>
            <w:r/>
            <w:r>
              <w:rPr>
                <w:rFonts w:ascii="Aptos" w:hAnsi="Aptos"/>
                <w:b/>
                <w:color w:val="FFFFFF"/>
                <w:sz w:val="17"/>
              </w:rPr>
              <w:t>Owner</w:t>
            </w:r>
          </w:p>
        </w:tc>
        <w:tc>
          <w:tcPr>
            <w:tcW w:type="dxa" w:w="2541"/>
            <w:vAlign w:val="center"/>
            <w:shd w:fill="3F6045"/>
          </w:tcPr>
          <w:p>
            <w:pPr>
              <w:spacing w:after="40"/>
            </w:pPr>
            <w:r/>
            <w:r>
              <w:rPr>
                <w:rFonts w:ascii="Aptos" w:hAnsi="Aptos"/>
                <w:b/>
                <w:color w:val="FFFFFF"/>
                <w:sz w:val="17"/>
              </w:rPr>
              <w:t>Required data</w:t>
            </w:r>
          </w:p>
        </w:tc>
        <w:tc>
          <w:tcPr>
            <w:tcW w:type="dxa" w:w="2541"/>
            <w:vAlign w:val="center"/>
            <w:shd w:fill="3F6045"/>
          </w:tcPr>
          <w:p>
            <w:pPr>
              <w:spacing w:after="40"/>
            </w:pPr>
            <w:r/>
            <w:r>
              <w:rPr>
                <w:rFonts w:ascii="Aptos" w:hAnsi="Aptos"/>
                <w:b/>
                <w:color w:val="FFFFFF"/>
                <w:sz w:val="17"/>
              </w:rPr>
              <w:t>Allowed next states</w:t>
            </w:r>
          </w:p>
        </w:tc>
      </w:tr>
      <w:tr>
        <w:tc>
          <w:tcPr>
            <w:tcW w:type="dxa" w:w="2541"/>
            <w:vAlign w:val="center"/>
          </w:tcPr>
          <w:p>
            <w:pPr>
              <w:spacing w:after="40"/>
            </w:pPr>
            <w:r/>
            <w:r>
              <w:rPr>
                <w:rFonts w:ascii="Aptos" w:hAnsi="Aptos"/>
                <w:b w:val="0"/>
                <w:color w:val="172033"/>
                <w:sz w:val="17"/>
              </w:rPr>
              <w:t>Draft RFQ</w:t>
            </w:r>
          </w:p>
        </w:tc>
        <w:tc>
          <w:tcPr>
            <w:tcW w:type="dxa" w:w="2541"/>
            <w:vAlign w:val="center"/>
          </w:tcPr>
          <w:p>
            <w:pPr>
              <w:spacing w:after="40"/>
            </w:pPr>
            <w:r/>
            <w:r>
              <w:rPr>
                <w:rFonts w:ascii="Aptos" w:hAnsi="Aptos"/>
                <w:b w:val="0"/>
                <w:color w:val="172033"/>
                <w:sz w:val="17"/>
              </w:rPr>
              <w:t>Buyer</w:t>
            </w:r>
          </w:p>
        </w:tc>
        <w:tc>
          <w:tcPr>
            <w:tcW w:type="dxa" w:w="2541"/>
            <w:vAlign w:val="center"/>
          </w:tcPr>
          <w:p>
            <w:pPr>
              <w:spacing w:after="40"/>
            </w:pPr>
            <w:r/>
            <w:r>
              <w:rPr>
                <w:rFonts w:ascii="Aptos" w:hAnsi="Aptos"/>
                <w:b w:val="0"/>
                <w:color w:val="172033"/>
                <w:sz w:val="17"/>
              </w:rPr>
              <w:t>Company/contact, quantity, delivery need, use case</w:t>
            </w:r>
          </w:p>
        </w:tc>
        <w:tc>
          <w:tcPr>
            <w:tcW w:type="dxa" w:w="2541"/>
            <w:vAlign w:val="center"/>
          </w:tcPr>
          <w:p>
            <w:pPr>
              <w:spacing w:after="40"/>
            </w:pPr>
            <w:r/>
            <w:r>
              <w:rPr>
                <w:rFonts w:ascii="Aptos" w:hAnsi="Aptos"/>
                <w:b w:val="0"/>
                <w:color w:val="172033"/>
                <w:sz w:val="17"/>
              </w:rPr>
              <w:t>Submitted or abandoned</w:t>
            </w:r>
          </w:p>
        </w:tc>
      </w:tr>
      <w:tr>
        <w:tc>
          <w:tcPr>
            <w:tcW w:type="dxa" w:w="2541"/>
            <w:vAlign w:val="center"/>
            <w:shd w:fill="F7F9F5"/>
          </w:tcPr>
          <w:p>
            <w:pPr>
              <w:spacing w:after="40"/>
            </w:pPr>
            <w:r/>
            <w:r>
              <w:rPr>
                <w:rFonts w:ascii="Aptos" w:hAnsi="Aptos"/>
                <w:b w:val="0"/>
                <w:color w:val="172033"/>
                <w:sz w:val="17"/>
              </w:rPr>
              <w:t>Submitted RFQ</w:t>
            </w:r>
          </w:p>
        </w:tc>
        <w:tc>
          <w:tcPr>
            <w:tcW w:type="dxa" w:w="2541"/>
            <w:vAlign w:val="center"/>
            <w:shd w:fill="F7F9F5"/>
          </w:tcPr>
          <w:p>
            <w:pPr>
              <w:spacing w:after="40"/>
            </w:pPr>
            <w:r/>
            <w:r>
              <w:rPr>
                <w:rFonts w:ascii="Aptos" w:hAnsi="Aptos"/>
                <w:b w:val="0"/>
                <w:color w:val="172033"/>
                <w:sz w:val="17"/>
              </w:rPr>
              <w:t>Buyer / admin</w:t>
            </w:r>
          </w:p>
        </w:tc>
        <w:tc>
          <w:tcPr>
            <w:tcW w:type="dxa" w:w="2541"/>
            <w:vAlign w:val="center"/>
            <w:shd w:fill="F7F9F5"/>
          </w:tcPr>
          <w:p>
            <w:pPr>
              <w:spacing w:after="40"/>
            </w:pPr>
            <w:r/>
            <w:r>
              <w:rPr>
                <w:rFonts w:ascii="Aptos" w:hAnsi="Aptos"/>
                <w:b w:val="0"/>
                <w:color w:val="172033"/>
                <w:sz w:val="17"/>
              </w:rPr>
              <w:t>Description, attachments, preferences</w:t>
            </w:r>
          </w:p>
        </w:tc>
        <w:tc>
          <w:tcPr>
            <w:tcW w:type="dxa" w:w="2541"/>
            <w:vAlign w:val="center"/>
            <w:shd w:fill="F7F9F5"/>
          </w:tcPr>
          <w:p>
            <w:pPr>
              <w:spacing w:after="40"/>
            </w:pPr>
            <w:r/>
            <w:r>
              <w:rPr>
                <w:rFonts w:ascii="Aptos" w:hAnsi="Aptos"/>
                <w:b w:val="0"/>
                <w:color w:val="172033"/>
                <w:sz w:val="17"/>
              </w:rPr>
              <w:t>Under review</w:t>
            </w:r>
          </w:p>
        </w:tc>
      </w:tr>
      <w:tr>
        <w:tc>
          <w:tcPr>
            <w:tcW w:type="dxa" w:w="2541"/>
            <w:vAlign w:val="center"/>
          </w:tcPr>
          <w:p>
            <w:pPr>
              <w:spacing w:after="40"/>
            </w:pPr>
            <w:r/>
            <w:r>
              <w:rPr>
                <w:rFonts w:ascii="Aptos" w:hAnsi="Aptos"/>
                <w:b w:val="0"/>
                <w:color w:val="172033"/>
                <w:sz w:val="17"/>
              </w:rPr>
              <w:t>Quote prepared</w:t>
            </w:r>
          </w:p>
        </w:tc>
        <w:tc>
          <w:tcPr>
            <w:tcW w:type="dxa" w:w="2541"/>
            <w:vAlign w:val="center"/>
          </w:tcPr>
          <w:p>
            <w:pPr>
              <w:spacing w:after="40"/>
            </w:pPr>
            <w:r/>
            <w:r>
              <w:rPr>
                <w:rFonts w:ascii="Aptos" w:hAnsi="Aptos"/>
                <w:b w:val="0"/>
                <w:color w:val="172033"/>
                <w:sz w:val="17"/>
              </w:rPr>
              <w:t>Admin / procurement</w:t>
            </w:r>
          </w:p>
        </w:tc>
        <w:tc>
          <w:tcPr>
            <w:tcW w:type="dxa" w:w="2541"/>
            <w:vAlign w:val="center"/>
          </w:tcPr>
          <w:p>
            <w:pPr>
              <w:spacing w:after="40"/>
            </w:pPr>
            <w:r/>
            <w:r>
              <w:rPr>
                <w:rFonts w:ascii="Aptos" w:hAnsi="Aptos"/>
                <w:b w:val="0"/>
                <w:color w:val="172033"/>
                <w:sz w:val="17"/>
              </w:rPr>
              <w:t>Supplier, product, cost, tax, advance, terms, expiry</w:t>
            </w:r>
          </w:p>
        </w:tc>
        <w:tc>
          <w:tcPr>
            <w:tcW w:type="dxa" w:w="2541"/>
            <w:vAlign w:val="center"/>
          </w:tcPr>
          <w:p>
            <w:pPr>
              <w:spacing w:after="40"/>
            </w:pPr>
            <w:r/>
            <w:r>
              <w:rPr>
                <w:rFonts w:ascii="Aptos" w:hAnsi="Aptos"/>
                <w:b w:val="0"/>
                <w:color w:val="172033"/>
                <w:sz w:val="17"/>
              </w:rPr>
              <w:t>Revision requested or sent to buyer</w:t>
            </w:r>
          </w:p>
        </w:tc>
      </w:tr>
      <w:tr>
        <w:tc>
          <w:tcPr>
            <w:tcW w:type="dxa" w:w="2541"/>
            <w:vAlign w:val="center"/>
            <w:shd w:fill="F7F9F5"/>
          </w:tcPr>
          <w:p>
            <w:pPr>
              <w:spacing w:after="40"/>
            </w:pPr>
            <w:r/>
            <w:r>
              <w:rPr>
                <w:rFonts w:ascii="Aptos" w:hAnsi="Aptos"/>
                <w:b w:val="0"/>
                <w:color w:val="172033"/>
                <w:sz w:val="17"/>
              </w:rPr>
              <w:t>Quote approved</w:t>
            </w:r>
          </w:p>
        </w:tc>
        <w:tc>
          <w:tcPr>
            <w:tcW w:type="dxa" w:w="2541"/>
            <w:vAlign w:val="center"/>
            <w:shd w:fill="F7F9F5"/>
          </w:tcPr>
          <w:p>
            <w:pPr>
              <w:spacing w:after="40"/>
            </w:pPr>
            <w:r/>
            <w:r>
              <w:rPr>
                <w:rFonts w:ascii="Aptos" w:hAnsi="Aptos"/>
                <w:b w:val="0"/>
                <w:color w:val="172033"/>
                <w:sz w:val="17"/>
              </w:rPr>
              <w:t>Buyer approver</w:t>
            </w:r>
          </w:p>
        </w:tc>
        <w:tc>
          <w:tcPr>
            <w:tcW w:type="dxa" w:w="2541"/>
            <w:vAlign w:val="center"/>
            <w:shd w:fill="F7F9F5"/>
          </w:tcPr>
          <w:p>
            <w:pPr>
              <w:spacing w:after="40"/>
            </w:pPr>
            <w:r/>
            <w:r>
              <w:rPr>
                <w:rFonts w:ascii="Aptos" w:hAnsi="Aptos"/>
                <w:b w:val="0"/>
                <w:color w:val="172033"/>
                <w:sz w:val="17"/>
              </w:rPr>
              <w:t>Approval record, approved commercial snapshot</w:t>
            </w:r>
          </w:p>
        </w:tc>
        <w:tc>
          <w:tcPr>
            <w:tcW w:type="dxa" w:w="2541"/>
            <w:vAlign w:val="center"/>
            <w:shd w:fill="F7F9F5"/>
          </w:tcPr>
          <w:p>
            <w:pPr>
              <w:spacing w:after="40"/>
            </w:pPr>
            <w:r/>
            <w:r>
              <w:rPr>
                <w:rFonts w:ascii="Aptos" w:hAnsi="Aptos"/>
                <w:b w:val="0"/>
                <w:color w:val="172033"/>
                <w:sz w:val="17"/>
              </w:rPr>
              <w:t>PO/payment pending</w:t>
            </w:r>
          </w:p>
        </w:tc>
      </w:tr>
      <w:tr>
        <w:tc>
          <w:tcPr>
            <w:tcW w:type="dxa" w:w="2541"/>
            <w:vAlign w:val="center"/>
          </w:tcPr>
          <w:p>
            <w:pPr>
              <w:spacing w:after="40"/>
            </w:pPr>
            <w:r/>
            <w:r>
              <w:rPr>
                <w:rFonts w:ascii="Aptos" w:hAnsi="Aptos"/>
                <w:b w:val="0"/>
                <w:color w:val="172033"/>
                <w:sz w:val="17"/>
              </w:rPr>
              <w:t>Order released</w:t>
            </w:r>
          </w:p>
        </w:tc>
        <w:tc>
          <w:tcPr>
            <w:tcW w:type="dxa" w:w="2541"/>
            <w:vAlign w:val="center"/>
          </w:tcPr>
          <w:p>
            <w:pPr>
              <w:spacing w:after="40"/>
            </w:pPr>
            <w:r/>
            <w:r>
              <w:rPr>
                <w:rFonts w:ascii="Aptos" w:hAnsi="Aptos"/>
                <w:b w:val="0"/>
                <w:color w:val="172033"/>
                <w:sz w:val="17"/>
              </w:rPr>
              <w:t>Finance / operations</w:t>
            </w:r>
          </w:p>
        </w:tc>
        <w:tc>
          <w:tcPr>
            <w:tcW w:type="dxa" w:w="2541"/>
            <w:vAlign w:val="center"/>
          </w:tcPr>
          <w:p>
            <w:pPr>
              <w:spacing w:after="40"/>
            </w:pPr>
            <w:r/>
            <w:r>
              <w:rPr>
                <w:rFonts w:ascii="Aptos" w:hAnsi="Aptos"/>
                <w:b w:val="0"/>
                <w:color w:val="172033"/>
                <w:sz w:val="17"/>
              </w:rPr>
              <w:t>PO or payment condition, customer snapshot, supplier assignment</w:t>
            </w:r>
          </w:p>
        </w:tc>
        <w:tc>
          <w:tcPr>
            <w:tcW w:type="dxa" w:w="2541"/>
            <w:vAlign w:val="center"/>
          </w:tcPr>
          <w:p>
            <w:pPr>
              <w:spacing w:after="40"/>
            </w:pPr>
            <w:r/>
            <w:r>
              <w:rPr>
                <w:rFonts w:ascii="Aptos" w:hAnsi="Aptos"/>
                <w:b w:val="0"/>
                <w:color w:val="172033"/>
                <w:sz w:val="17"/>
              </w:rPr>
              <w:t>In production</w:t>
            </w:r>
          </w:p>
        </w:tc>
      </w:tr>
      <w:tr>
        <w:tc>
          <w:tcPr>
            <w:tcW w:type="dxa" w:w="2541"/>
            <w:vAlign w:val="center"/>
            <w:shd w:fill="F7F9F5"/>
          </w:tcPr>
          <w:p>
            <w:pPr>
              <w:spacing w:after="40"/>
            </w:pPr>
            <w:r/>
            <w:r>
              <w:rPr>
                <w:rFonts w:ascii="Aptos" w:hAnsi="Aptos"/>
                <w:b w:val="0"/>
                <w:color w:val="172033"/>
                <w:sz w:val="17"/>
              </w:rPr>
              <w:t>In production</w:t>
            </w:r>
          </w:p>
        </w:tc>
        <w:tc>
          <w:tcPr>
            <w:tcW w:type="dxa" w:w="2541"/>
            <w:vAlign w:val="center"/>
            <w:shd w:fill="F7F9F5"/>
          </w:tcPr>
          <w:p>
            <w:pPr>
              <w:spacing w:after="40"/>
            </w:pPr>
            <w:r/>
            <w:r>
              <w:rPr>
                <w:rFonts w:ascii="Aptos" w:hAnsi="Aptos"/>
                <w:b w:val="0"/>
                <w:color w:val="172033"/>
                <w:sz w:val="17"/>
              </w:rPr>
              <w:t>Supplier / operations</w:t>
            </w:r>
          </w:p>
        </w:tc>
        <w:tc>
          <w:tcPr>
            <w:tcW w:type="dxa" w:w="2541"/>
            <w:vAlign w:val="center"/>
            <w:shd w:fill="F7F9F5"/>
          </w:tcPr>
          <w:p>
            <w:pPr>
              <w:spacing w:after="40"/>
            </w:pPr>
            <w:r/>
            <w:r>
              <w:rPr>
                <w:rFonts w:ascii="Aptos" w:hAnsi="Aptos"/>
                <w:b w:val="0"/>
                <w:color w:val="172033"/>
                <w:sz w:val="17"/>
              </w:rPr>
              <w:t>Vendor PO, artwork, employee sizes, delivery plan</w:t>
            </w:r>
          </w:p>
        </w:tc>
        <w:tc>
          <w:tcPr>
            <w:tcW w:type="dxa" w:w="2541"/>
            <w:vAlign w:val="center"/>
            <w:shd w:fill="F7F9F5"/>
          </w:tcPr>
          <w:p>
            <w:pPr>
              <w:spacing w:after="40"/>
            </w:pPr>
            <w:r/>
            <w:r>
              <w:rPr>
                <w:rFonts w:ascii="Aptos" w:hAnsi="Aptos"/>
                <w:b w:val="0"/>
                <w:color w:val="172033"/>
                <w:sz w:val="17"/>
              </w:rPr>
              <w:t>QC pending</w:t>
            </w:r>
          </w:p>
        </w:tc>
      </w:tr>
      <w:tr>
        <w:tc>
          <w:tcPr>
            <w:tcW w:type="dxa" w:w="2541"/>
            <w:vAlign w:val="center"/>
          </w:tcPr>
          <w:p>
            <w:pPr>
              <w:spacing w:after="40"/>
            </w:pPr>
            <w:r/>
            <w:r>
              <w:rPr>
                <w:rFonts w:ascii="Aptos" w:hAnsi="Aptos"/>
                <w:b w:val="0"/>
                <w:color w:val="172033"/>
                <w:sz w:val="17"/>
              </w:rPr>
              <w:t>QC approved</w:t>
            </w:r>
          </w:p>
        </w:tc>
        <w:tc>
          <w:tcPr>
            <w:tcW w:type="dxa" w:w="2541"/>
            <w:vAlign w:val="center"/>
          </w:tcPr>
          <w:p>
            <w:pPr>
              <w:spacing w:after="40"/>
            </w:pPr>
            <w:r/>
            <w:r>
              <w:rPr>
                <w:rFonts w:ascii="Aptos" w:hAnsi="Aptos"/>
                <w:b w:val="0"/>
                <w:color w:val="172033"/>
                <w:sz w:val="17"/>
              </w:rPr>
              <w:t>QC / operations</w:t>
            </w:r>
          </w:p>
        </w:tc>
        <w:tc>
          <w:tcPr>
            <w:tcW w:type="dxa" w:w="2541"/>
            <w:vAlign w:val="center"/>
          </w:tcPr>
          <w:p>
            <w:pPr>
              <w:spacing w:after="40"/>
            </w:pPr>
            <w:r/>
            <w:r>
              <w:rPr>
                <w:rFonts w:ascii="Aptos" w:hAnsi="Aptos"/>
                <w:b w:val="0"/>
                <w:color w:val="172033"/>
                <w:sz w:val="17"/>
              </w:rPr>
              <w:t>QC evidence and approval</w:t>
            </w:r>
          </w:p>
        </w:tc>
        <w:tc>
          <w:tcPr>
            <w:tcW w:type="dxa" w:w="2541"/>
            <w:vAlign w:val="center"/>
          </w:tcPr>
          <w:p>
            <w:pPr>
              <w:spacing w:after="40"/>
            </w:pPr>
            <w:r/>
            <w:r>
              <w:rPr>
                <w:rFonts w:ascii="Aptos" w:hAnsi="Aptos"/>
                <w:b w:val="0"/>
                <w:color w:val="172033"/>
                <w:sz w:val="17"/>
              </w:rPr>
              <w:t>Ready for dispatch</w:t>
            </w:r>
          </w:p>
        </w:tc>
      </w:tr>
      <w:tr>
        <w:tc>
          <w:tcPr>
            <w:tcW w:type="dxa" w:w="2541"/>
            <w:vAlign w:val="center"/>
            <w:shd w:fill="F7F9F5"/>
          </w:tcPr>
          <w:p>
            <w:pPr>
              <w:spacing w:after="40"/>
            </w:pPr>
            <w:r/>
            <w:r>
              <w:rPr>
                <w:rFonts w:ascii="Aptos" w:hAnsi="Aptos"/>
                <w:b w:val="0"/>
                <w:color w:val="172033"/>
                <w:sz w:val="17"/>
              </w:rPr>
              <w:t>Dispatched</w:t>
            </w:r>
          </w:p>
        </w:tc>
        <w:tc>
          <w:tcPr>
            <w:tcW w:type="dxa" w:w="2541"/>
            <w:vAlign w:val="center"/>
            <w:shd w:fill="F7F9F5"/>
          </w:tcPr>
          <w:p>
            <w:pPr>
              <w:spacing w:after="40"/>
            </w:pPr>
            <w:r/>
            <w:r>
              <w:rPr>
                <w:rFonts w:ascii="Aptos" w:hAnsi="Aptos"/>
                <w:b w:val="0"/>
                <w:color w:val="172033"/>
                <w:sz w:val="17"/>
              </w:rPr>
              <w:t>Operations / supplier</w:t>
            </w:r>
          </w:p>
        </w:tc>
        <w:tc>
          <w:tcPr>
            <w:tcW w:type="dxa" w:w="2541"/>
            <w:vAlign w:val="center"/>
            <w:shd w:fill="F7F9F5"/>
          </w:tcPr>
          <w:p>
            <w:pPr>
              <w:spacing w:after="40"/>
            </w:pPr>
            <w:r/>
            <w:r>
              <w:rPr>
                <w:rFonts w:ascii="Aptos" w:hAnsi="Aptos"/>
                <w:b w:val="0"/>
                <w:color w:val="172033"/>
                <w:sz w:val="17"/>
              </w:rPr>
              <w:t>Challan or shipment record, dispatch date</w:t>
            </w:r>
          </w:p>
        </w:tc>
        <w:tc>
          <w:tcPr>
            <w:tcW w:type="dxa" w:w="2541"/>
            <w:vAlign w:val="center"/>
            <w:shd w:fill="F7F9F5"/>
          </w:tcPr>
          <w:p>
            <w:pPr>
              <w:spacing w:after="40"/>
            </w:pPr>
            <w:r/>
            <w:r>
              <w:rPr>
                <w:rFonts w:ascii="Aptos" w:hAnsi="Aptos"/>
                <w:b w:val="0"/>
                <w:color w:val="172033"/>
                <w:sz w:val="17"/>
              </w:rPr>
              <w:t>Delivered or exception</w:t>
            </w:r>
          </w:p>
        </w:tc>
      </w:tr>
      <w:tr>
        <w:tc>
          <w:tcPr>
            <w:tcW w:type="dxa" w:w="2541"/>
            <w:vAlign w:val="center"/>
          </w:tcPr>
          <w:p>
            <w:pPr>
              <w:spacing w:after="40"/>
            </w:pPr>
            <w:r/>
            <w:r>
              <w:rPr>
                <w:rFonts w:ascii="Aptos" w:hAnsi="Aptos"/>
                <w:b w:val="0"/>
                <w:color w:val="172033"/>
                <w:sz w:val="17"/>
              </w:rPr>
              <w:t>Delivered</w:t>
            </w:r>
          </w:p>
        </w:tc>
        <w:tc>
          <w:tcPr>
            <w:tcW w:type="dxa" w:w="2541"/>
            <w:vAlign w:val="center"/>
          </w:tcPr>
          <w:p>
            <w:pPr>
              <w:spacing w:after="40"/>
            </w:pPr>
            <w:r/>
            <w:r>
              <w:rPr>
                <w:rFonts w:ascii="Aptos" w:hAnsi="Aptos"/>
                <w:b w:val="0"/>
                <w:color w:val="172033"/>
                <w:sz w:val="17"/>
              </w:rPr>
              <w:t>Operations</w:t>
            </w:r>
          </w:p>
        </w:tc>
        <w:tc>
          <w:tcPr>
            <w:tcW w:type="dxa" w:w="2541"/>
            <w:vAlign w:val="center"/>
          </w:tcPr>
          <w:p>
            <w:pPr>
              <w:spacing w:after="40"/>
            </w:pPr>
            <w:r/>
            <w:r>
              <w:rPr>
                <w:rFonts w:ascii="Aptos" w:hAnsi="Aptos"/>
                <w:b w:val="0"/>
                <w:color w:val="172033"/>
                <w:sz w:val="17"/>
              </w:rPr>
              <w:t>Delivery confirmation, replacements if any</w:t>
            </w:r>
          </w:p>
        </w:tc>
        <w:tc>
          <w:tcPr>
            <w:tcW w:type="dxa" w:w="2541"/>
            <w:vAlign w:val="center"/>
          </w:tcPr>
          <w:p>
            <w:pPr>
              <w:spacing w:after="40"/>
            </w:pPr>
            <w:r/>
            <w:r>
              <w:rPr>
                <w:rFonts w:ascii="Aptos" w:hAnsi="Aptos"/>
                <w:b w:val="0"/>
                <w:color w:val="172033"/>
                <w:sz w:val="17"/>
              </w:rPr>
              <w:t>Final invoice and settlement</w:t>
            </w:r>
          </w:p>
        </w:tc>
      </w:tr>
      <w:tr>
        <w:tc>
          <w:tcPr>
            <w:tcW w:type="dxa" w:w="2541"/>
            <w:vAlign w:val="center"/>
            <w:shd w:fill="F7F9F5"/>
          </w:tcPr>
          <w:p>
            <w:pPr>
              <w:spacing w:after="40"/>
            </w:pPr>
            <w:r/>
            <w:r>
              <w:rPr>
                <w:rFonts w:ascii="Aptos" w:hAnsi="Aptos"/>
                <w:b w:val="0"/>
                <w:color w:val="172033"/>
                <w:sz w:val="17"/>
              </w:rPr>
              <w:t>Settled</w:t>
            </w:r>
          </w:p>
        </w:tc>
        <w:tc>
          <w:tcPr>
            <w:tcW w:type="dxa" w:w="2541"/>
            <w:vAlign w:val="center"/>
            <w:shd w:fill="F7F9F5"/>
          </w:tcPr>
          <w:p>
            <w:pPr>
              <w:spacing w:after="40"/>
            </w:pPr>
            <w:r/>
            <w:r>
              <w:rPr>
                <w:rFonts w:ascii="Aptos" w:hAnsi="Aptos"/>
                <w:b w:val="0"/>
                <w:color w:val="172033"/>
                <w:sz w:val="17"/>
              </w:rPr>
              <w:t>Finance</w:t>
            </w:r>
          </w:p>
        </w:tc>
        <w:tc>
          <w:tcPr>
            <w:tcW w:type="dxa" w:w="2541"/>
            <w:vAlign w:val="center"/>
            <w:shd w:fill="F7F9F5"/>
          </w:tcPr>
          <w:p>
            <w:pPr>
              <w:spacing w:after="40"/>
            </w:pPr>
            <w:r/>
            <w:r>
              <w:rPr>
                <w:rFonts w:ascii="Aptos" w:hAnsi="Aptos"/>
                <w:b w:val="0"/>
                <w:color w:val="172033"/>
                <w:sz w:val="17"/>
              </w:rPr>
              <w:t>Final invoice, receipts, deductions, payout confirmation</w:t>
            </w:r>
          </w:p>
        </w:tc>
        <w:tc>
          <w:tcPr>
            <w:tcW w:type="dxa" w:w="2541"/>
            <w:vAlign w:val="center"/>
            <w:shd w:fill="F7F9F5"/>
          </w:tcPr>
          <w:p>
            <w:pPr>
              <w:spacing w:after="40"/>
            </w:pPr>
            <w:r/>
            <w:r>
              <w:rPr>
                <w:rFonts w:ascii="Aptos" w:hAnsi="Aptos"/>
                <w:b w:val="0"/>
                <w:color w:val="172033"/>
                <w:sz w:val="17"/>
              </w:rPr>
              <w:t>Closed</w:t>
            </w:r>
          </w:p>
        </w:tc>
      </w:tr>
    </w:tbl>
    <w:p>
      <w:pPr>
        <w:spacing w:after="40"/>
      </w:pPr>
    </w:p>
    <w:p>
      <w:pPr>
        <w:pStyle w:val="Heading1"/>
        <w:keepNext/>
      </w:pPr>
      <w:r>
        <w:t>10 Evidence-backed implementation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Repository area</w:t>
            </w:r>
          </w:p>
        </w:tc>
        <w:tc>
          <w:tcPr>
            <w:tcW w:type="dxa" w:w="5083"/>
            <w:vAlign w:val="center"/>
            <w:shd w:fill="3F6045"/>
          </w:tcPr>
          <w:p>
            <w:pPr>
              <w:spacing w:after="40"/>
            </w:pPr>
            <w:r/>
            <w:r>
              <w:rPr>
                <w:rFonts w:ascii="Aptos" w:hAnsi="Aptos"/>
                <w:b/>
                <w:color w:val="FFFFFF"/>
                <w:sz w:val="17"/>
              </w:rPr>
              <w:t>Evidence found</w:t>
            </w:r>
          </w:p>
        </w:tc>
      </w:tr>
      <w:tr>
        <w:tc>
          <w:tcPr>
            <w:tcW w:type="dxa" w:w="5083"/>
            <w:vAlign w:val="center"/>
          </w:tcPr>
          <w:p>
            <w:pPr>
              <w:spacing w:after="40"/>
            </w:pPr>
            <w:r/>
            <w:r>
              <w:rPr>
                <w:rFonts w:ascii="Aptos" w:hAnsi="Aptos"/>
                <w:b w:val="0"/>
                <w:color w:val="172033"/>
                <w:sz w:val="17"/>
              </w:rPr>
              <w:t>Buyer corporate platform</w:t>
            </w:r>
          </w:p>
        </w:tc>
        <w:tc>
          <w:tcPr>
            <w:tcW w:type="dxa" w:w="5083"/>
            <w:vAlign w:val="center"/>
          </w:tcPr>
          <w:p>
            <w:pPr>
              <w:spacing w:after="40"/>
            </w:pPr>
            <w:r/>
            <w:r>
              <w:rPr>
                <w:rFonts w:ascii="Aptos" w:hAnsi="Aptos"/>
                <w:b w:val="0"/>
                <w:color w:val="172033"/>
                <w:sz w:val="17"/>
              </w:rPr>
              <w:t>src/components/corporate-platform/customer-corporate-dashboard.tsx, request-quote-form.tsx, corporate-tabs.tsx</w:t>
            </w:r>
          </w:p>
        </w:tc>
      </w:tr>
      <w:tr>
        <w:tc>
          <w:tcPr>
            <w:tcW w:type="dxa" w:w="5083"/>
            <w:vAlign w:val="center"/>
            <w:shd w:fill="F7F9F5"/>
          </w:tcPr>
          <w:p>
            <w:pPr>
              <w:spacing w:after="40"/>
            </w:pPr>
            <w:r/>
            <w:r>
              <w:rPr>
                <w:rFonts w:ascii="Aptos" w:hAnsi="Aptos"/>
                <w:b w:val="0"/>
                <w:color w:val="172033"/>
                <w:sz w:val="17"/>
              </w:rPr>
              <w:t>Legacy order journey</w:t>
            </w:r>
          </w:p>
        </w:tc>
        <w:tc>
          <w:tcPr>
            <w:tcW w:type="dxa" w:w="5083"/>
            <w:vAlign w:val="center"/>
            <w:shd w:fill="F7F9F5"/>
          </w:tcPr>
          <w:p>
            <w:pPr>
              <w:spacing w:after="40"/>
            </w:pPr>
            <w:r/>
            <w:r>
              <w:rPr>
                <w:rFonts w:ascii="Aptos" w:hAnsi="Aptos"/>
                <w:b w:val="0"/>
                <w:color w:val="172033"/>
                <w:sz w:val="17"/>
              </w:rPr>
              <w:t>src/components/corporate-orders/corporate-order-page.tsx with five-step flow and uploads</w:t>
            </w:r>
          </w:p>
        </w:tc>
      </w:tr>
      <w:tr>
        <w:tc>
          <w:tcPr>
            <w:tcW w:type="dxa" w:w="5083"/>
            <w:vAlign w:val="center"/>
          </w:tcPr>
          <w:p>
            <w:pPr>
              <w:spacing w:after="40"/>
            </w:pPr>
            <w:r/>
            <w:r>
              <w:rPr>
                <w:rFonts w:ascii="Aptos" w:hAnsi="Aptos"/>
                <w:b w:val="0"/>
                <w:color w:val="172033"/>
                <w:sz w:val="17"/>
              </w:rPr>
              <w:t>Admin platform</w:t>
            </w:r>
          </w:p>
        </w:tc>
        <w:tc>
          <w:tcPr>
            <w:tcW w:type="dxa" w:w="5083"/>
            <w:vAlign w:val="center"/>
          </w:tcPr>
          <w:p>
            <w:pPr>
              <w:spacing w:after="40"/>
            </w:pPr>
            <w:r/>
            <w:r>
              <w:rPr>
                <w:rFonts w:ascii="Aptos" w:hAnsi="Aptos"/>
                <w:b w:val="0"/>
                <w:color w:val="172033"/>
                <w:sz w:val="17"/>
              </w:rPr>
              <w:t>admin-rfq-queue.tsx, admin-finance-queue.tsx, admin-task-center.tsx, admin-report-center.tsx</w:t>
            </w:r>
          </w:p>
        </w:tc>
      </w:tr>
      <w:tr>
        <w:tc>
          <w:tcPr>
            <w:tcW w:type="dxa" w:w="5083"/>
            <w:vAlign w:val="center"/>
            <w:shd w:fill="F7F9F5"/>
          </w:tcPr>
          <w:p>
            <w:pPr>
              <w:spacing w:after="40"/>
            </w:pPr>
            <w:r/>
            <w:r>
              <w:rPr>
                <w:rFonts w:ascii="Aptos" w:hAnsi="Aptos"/>
                <w:b w:val="0"/>
                <w:color w:val="172033"/>
                <w:sz w:val="17"/>
              </w:rPr>
              <w:t>Order operations</w:t>
            </w:r>
          </w:p>
        </w:tc>
        <w:tc>
          <w:tcPr>
            <w:tcW w:type="dxa" w:w="5083"/>
            <w:vAlign w:val="center"/>
            <w:shd w:fill="F7F9F5"/>
          </w:tcPr>
          <w:p>
            <w:pPr>
              <w:spacing w:after="40"/>
            </w:pPr>
            <w:r/>
            <w:r>
              <w:rPr>
                <w:rFonts w:ascii="Aptos" w:hAnsi="Aptos"/>
                <w:b w:val="0"/>
                <w:color w:val="172033"/>
                <w:sz w:val="17"/>
              </w:rPr>
              <w:t>corporate-order-detail.tsx and corporate-document-chain-panel.tsx</w:t>
            </w:r>
          </w:p>
        </w:tc>
      </w:tr>
      <w:tr>
        <w:tc>
          <w:tcPr>
            <w:tcW w:type="dxa" w:w="5083"/>
            <w:vAlign w:val="center"/>
          </w:tcPr>
          <w:p>
            <w:pPr>
              <w:spacing w:after="40"/>
            </w:pPr>
            <w:r/>
            <w:r>
              <w:rPr>
                <w:rFonts w:ascii="Aptos" w:hAnsi="Aptos"/>
                <w:b w:val="0"/>
                <w:color w:val="172033"/>
                <w:sz w:val="17"/>
              </w:rPr>
              <w:t>Document templates</w:t>
            </w:r>
          </w:p>
        </w:tc>
        <w:tc>
          <w:tcPr>
            <w:tcW w:type="dxa" w:w="5083"/>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r>
      <w:tr>
        <w:tc>
          <w:tcPr>
            <w:tcW w:type="dxa" w:w="5083"/>
            <w:vAlign w:val="center"/>
            <w:shd w:fill="F7F9F5"/>
          </w:tcPr>
          <w:p>
            <w:pPr>
              <w:spacing w:after="40"/>
            </w:pPr>
            <w:r/>
            <w:r>
              <w:rPr>
                <w:rFonts w:ascii="Aptos" w:hAnsi="Aptos"/>
                <w:b w:val="0"/>
                <w:color w:val="172033"/>
                <w:sz w:val="17"/>
              </w:rPr>
              <w:t>API document routes</w:t>
            </w:r>
          </w:p>
        </w:tc>
        <w:tc>
          <w:tcPr>
            <w:tcW w:type="dxa" w:w="5083"/>
            <w:vAlign w:val="center"/>
            <w:shd w:fill="F7F9F5"/>
          </w:tcPr>
          <w:p>
            <w:pPr>
              <w:spacing w:after="40"/>
            </w:pPr>
            <w:r/>
            <w:r>
              <w:rPr>
                <w:rFonts w:ascii="Aptos" w:hAnsi="Aptos"/>
                <w:b w:val="0"/>
                <w:color w:val="172033"/>
                <w:sz w:val="17"/>
              </w:rPr>
              <w:t>src/app/api/corporate-orders/[id]/... routes for invoice, summary, receipt, vendor PO, challan, settlement, and fulfilment order</w:t>
            </w:r>
          </w:p>
        </w:tc>
      </w:tr>
      <w:tr>
        <w:tc>
          <w:tcPr>
            <w:tcW w:type="dxa" w:w="5083"/>
            <w:vAlign w:val="center"/>
          </w:tcPr>
          <w:p>
            <w:pPr>
              <w:spacing w:after="40"/>
            </w:pPr>
            <w:r/>
            <w:r>
              <w:rPr>
                <w:rFonts w:ascii="Aptos" w:hAnsi="Aptos"/>
                <w:b w:val="0"/>
                <w:color w:val="172033"/>
                <w:sz w:val="17"/>
              </w:rPr>
              <w:t>Rendered previews</w:t>
            </w:r>
          </w:p>
        </w:tc>
        <w:tc>
          <w:tcPr>
            <w:tcW w:type="dxa" w:w="5083"/>
            <w:vAlign w:val="center"/>
          </w:tcPr>
          <w:p>
            <w:pPr>
              <w:spacing w:after="40"/>
            </w:pPr>
            <w:r/>
            <w:r>
              <w:rPr>
                <w:rFonts w:ascii="Aptos" w:hAnsi="Aptos"/>
                <w:b w:val="0"/>
                <w:color w:val="172033"/>
                <w:sz w:val="17"/>
              </w:rPr>
              <w:t>output/pdf/*.pdf and tmp/corp-docs-png/*.png used in this report</w:t>
            </w:r>
          </w:p>
        </w:tc>
      </w:tr>
    </w:tbl>
    <w:p>
      <w:pPr>
        <w:spacing w:after="40"/>
      </w:pPr>
    </w:p>
    <w:p>
      <w:pPr>
        <w:pStyle w:val="Heading1"/>
        <w:keepNext/>
      </w:pPr>
      <w:r>
        <w:t>11 Suggested next delivery sequence</w:t>
      </w:r>
    </w:p>
    <w:p>
      <w:pPr>
        <w:pStyle w:val="ListBullet"/>
        <w:spacing w:after="60"/>
      </w:pPr>
      <w:r>
        <w:t>P0: Confirm the primary buyer journey and document the decision rules on the landing page.</w:t>
      </w:r>
    </w:p>
    <w:p>
      <w:pPr>
        <w:pStyle w:val="ListBullet"/>
        <w:spacing w:after="60"/>
      </w:pPr>
      <w:r>
        <w:t>P0: Implement or verify the single order-release gate and quote snapshot locking.</w:t>
      </w:r>
    </w:p>
    <w:p>
      <w:pPr>
        <w:pStyle w:val="ListBullet"/>
        <w:spacing w:after="60"/>
      </w:pPr>
      <w:r>
        <w:t>P0: Complete role/permission and document-prerequisite QA across buyer, admin, finance, operations, and brand roles.</w:t>
      </w:r>
    </w:p>
    <w:p>
      <w:pPr>
        <w:pStyle w:val="ListBullet"/>
        <w:spacing w:after="60"/>
      </w:pPr>
      <w:r>
        <w:t>P1: Create the finance reconciliation and tax-identity runbooks, including failure and reversal cases.</w:t>
      </w:r>
    </w:p>
    <w:p>
      <w:pPr>
        <w:pStyle w:val="ListBullet"/>
        <w:spacing w:after="60"/>
      </w:pPr>
      <w:r>
        <w:t>P1: Capture authenticated screenshots and add them to the release evidence pack.</w:t>
      </w:r>
    </w:p>
    <w:p>
      <w:pPr>
        <w:pStyle w:val="ListBullet"/>
        <w:spacing w:after="60"/>
      </w:pPr>
      <w:r>
        <w:t>P2: Add SLA dashboards, quote aging, payment aging, production aging, and settlement aging reports.</w:t>
      </w:r>
    </w:p>
    <w:p>
      <w:pPr>
        <w:pStyle w:val="Heading1"/>
        <w:keepNext/>
      </w:pPr>
      <w:r>
        <w:t>Appendix A Report assumptions and limitations</w:t>
      </w:r>
    </w:p>
    <w:p>
      <w:pPr>
        <w:spacing w:after="120" w:line="269" w:lineRule="auto"/>
      </w:pPr>
      <w:r>
        <w:t>This report describes the implementation visible in the repository and the rendered document previews available at review time. It does not assert that every external integration, production environment permission, notification delivery, or live database record has been exercised. Those items should be validated in authenticated staging QA before production sign-off.</w:t>
      </w:r>
    </w:p>
    <w:p>
      <w:pPr>
        <w:spacing w:after="120" w:line="269" w:lineRule="auto"/>
      </w:pPr>
      <w:r>
        <w:t>The invoice and corporate document previews contain test or sample identities and values. They are included to show current document structure and coverage, not as legally final production samples.</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Renivet Corporate Order Current State | 06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